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will carefully weigh the costs and risks of action against the costs of inaction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they make cost/benefit calculations and are dependent on states and other stakeholders we are capable of influencing.</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4 references coded [ 0.72%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Such efforts to change an adversary’s risk-benefit calculus have the potential to limit perceived options and can be pursued independent of attribution.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A stronger and more resilient critical infrastructure will strengthen deterrence by creating doubt in our adversaries that they can achieve their objectives.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