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[ 0.16%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they make cost/benefit calculations and are dependent on states and other stakeholders we are capable of influencing.</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Denying an aggressor the benefits of achieving its objectives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will carefully weigh the costs and risks of action against the costs of inaction</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4 references coded [ 0.72%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3 - 0.12% Coverage</w:t>
      </w:r>
    </w:p>
    <w:p>
      <w:pPr>
        <w:pStyle w:val="TextBody"/>
        <w:bidi w:val="0"/>
        <w:spacing w:before="0" w:after="0"/>
        <w:jc w:val="left"/>
        <w:rPr/>
      </w:pPr>
      <w:r>
        <w:rPr/>
        <w:t>Such efforts to change an adversary’s risk-benefit calculus have the potential to limit perceived options and can be pursued independent of attribution.</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