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shaping behaviors and attitudes through the imposition of higher costs for malicious activity</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raise the cost of their support.</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1 reference coded [ 0.07%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If deterrence fails at any given time, U.S. forces will be capable of defeating a regional adversary in a large-scale multi-phased campaign, and denying the objectives of – or imposing unacceptable costs on – a second aggressor in another region.</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2 references coded [ 0.43% Coverage]</w:t>
      </w:r>
    </w:p>
    <w:p>
      <w:pPr>
        <w:pStyle w:val="TextBody"/>
        <w:bidi w:val="0"/>
        <w:spacing w:before="113" w:after="113"/>
        <w:ind w:left="113" w:right="113" w:hanging="0"/>
        <w:jc w:val="left"/>
        <w:rPr>
          <w:highlight w:val="lightGray"/>
        </w:rPr>
      </w:pPr>
      <w:r>
        <w:rPr>
          <w:highlight w:val="lightGray"/>
        </w:rPr>
        <w:t>Reference 1 - 0.28% Coverage</w:t>
      </w:r>
    </w:p>
    <w:p>
      <w:pPr>
        <w:pStyle w:val="TextBody"/>
        <w:bidi w:val="0"/>
        <w:spacing w:before="0" w:after="0"/>
        <w:jc w:val="left"/>
        <w:rPr/>
      </w:pPr>
      <w:r>
        <w:rPr/>
        <w:t>If deterrence fails, at any given time, our military will be capable of defeating a regional adversary in a large-scale, multi-phased campaign while denying the objectives of — or imposing unacceptable costs on — another aggressor in a different region.</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 xml:space="preserve">Deny an Adversary’s Objectives. Denying an adversary’s goals or imposing </w:t>
        <w:br/>
        <w:t>unacceptable costs is central to achieving our objectives.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9 references coded [ 0.81%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In lockstep with our European allies, we are enforcing tough sanctions on Russia to impose costs and deter future aggression.</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We mobilized and are leading global efforts to impose costs to counter Russian aggression, to degrade and ultimately defeat ISIL</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Targeted economic sanctions will remain an effective tool for imposing costs on irresponsible actors and helping to dismantle criminal and terrorist networks.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It should be based on a serious appreciation for the risk to our mission, our global responsibilities, and the opportunity costs at home and abroad.</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We will defend ourselves, consistent with U.S. and international law, against cyber attacks and impose costs on malicious cyber actors,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At the same time, we will exact an appropriate cost on transgressors</w:t>
      </w:r>
    </w:p>
    <w:p>
      <w:pPr>
        <w:pStyle w:val="TextBody"/>
        <w:bidi w:val="0"/>
        <w:spacing w:before="113" w:after="113"/>
        <w:ind w:left="113" w:right="113" w:hanging="0"/>
        <w:jc w:val="left"/>
        <w:rPr>
          <w:highlight w:val="lightGray"/>
        </w:rPr>
      </w:pPr>
      <w:r>
        <w:rPr>
          <w:highlight w:val="lightGray"/>
        </w:rPr>
        <w:t>Reference 8 - 0.13% Coverage</w:t>
      </w:r>
    </w:p>
    <w:p>
      <w:pPr>
        <w:pStyle w:val="TextBody"/>
        <w:bidi w:val="0"/>
        <w:spacing w:before="0" w:after="0"/>
        <w:jc w:val="left"/>
        <w:rPr/>
      </w:pPr>
      <w:r>
        <w:rPr/>
        <w:t>Targeted economic sanctions remain an effective tool for imposing costs on those irresponsible actors whose military aggression, illicit proliferation, or unprovoked violence threaten both international rules and norms and the peace they were designed to preserve.</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And we will continue to impose significant costs on Russia through sanctions and other means while countering Moscow’s deceptive propaganda with the unvarnished truth</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14 references coded [ 1.92%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Deterrence by Cost Imposition</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Measures to Impose Economic Costs on Malicious Cyber Actors</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Our targeted use of these instruments is intended to create uncertainty in adversaries’ minds about the effectiveness of any malicious cyber activities and to increase the costs and consequences that adversaries face as a result of their actions.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The United States is also pursuing deterrence through cost imposition</w:t>
      </w:r>
    </w:p>
    <w:p>
      <w:pPr>
        <w:pStyle w:val="TextBody"/>
        <w:bidi w:val="0"/>
        <w:spacing w:before="113" w:after="113"/>
        <w:ind w:left="113" w:right="113" w:hanging="0"/>
        <w:jc w:val="left"/>
        <w:rPr>
          <w:highlight w:val="lightGray"/>
        </w:rPr>
      </w:pPr>
      <w:r>
        <w:rPr>
          <w:highlight w:val="lightGray"/>
        </w:rPr>
        <w:t>Reference 5 - 0.12% Coverage</w:t>
      </w:r>
    </w:p>
    <w:p>
      <w:pPr>
        <w:pStyle w:val="TextBody"/>
        <w:bidi w:val="0"/>
        <w:spacing w:before="0" w:after="0"/>
        <w:jc w:val="left"/>
        <w:rPr/>
      </w:pPr>
      <w:r>
        <w:rPr/>
        <w:t>inflict penalties and costs against adversaries that choose to conduct cyber attacks or other malicious cyber activity against the United States.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Deterrence by Cost Imposition</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Developing options to impose economic costs on malicious cyber actors.</w:t>
      </w:r>
    </w:p>
    <w:p>
      <w:pPr>
        <w:pStyle w:val="TextBody"/>
        <w:bidi w:val="0"/>
        <w:spacing w:before="113" w:after="113"/>
        <w:ind w:left="113" w:right="113" w:hanging="0"/>
        <w:jc w:val="left"/>
        <w:rPr>
          <w:highlight w:val="lightGray"/>
        </w:rPr>
      </w:pPr>
      <w:r>
        <w:rPr>
          <w:highlight w:val="lightGray"/>
        </w:rPr>
        <w:t>Reference 8 - 0.28% Coverage</w:t>
      </w:r>
    </w:p>
    <w:p>
      <w:pPr>
        <w:pStyle w:val="TextBody"/>
        <w:bidi w:val="0"/>
        <w:spacing w:before="0" w:after="0"/>
        <w:jc w:val="left"/>
        <w:rPr/>
      </w:pPr>
      <w:r>
        <w:rPr/>
        <w:t xml:space="preserve">Measures to Impose Economic Costs on Malicious Cyber Actors </w:t>
        <w:br/>
        <w:t>Economic tools may offer options for imposing costs on malicious cyber actors and deterring certain cyber threats, particularly from adversaries who seek to undermine U.S. economic security by illicitly obtaining trade secrets, including intellectual property, or controlled technology.</w:t>
      </w:r>
    </w:p>
    <w:p>
      <w:pPr>
        <w:pStyle w:val="TextBody"/>
        <w:bidi w:val="0"/>
        <w:spacing w:before="113" w:after="113"/>
        <w:ind w:left="113" w:right="113" w:hanging="0"/>
        <w:jc w:val="left"/>
        <w:rPr>
          <w:highlight w:val="lightGray"/>
        </w:rPr>
      </w:pPr>
      <w:r>
        <w:rPr>
          <w:highlight w:val="lightGray"/>
        </w:rPr>
        <w:t>Reference 9 - 0.23% Coverage</w:t>
      </w:r>
    </w:p>
    <w:p>
      <w:pPr>
        <w:pStyle w:val="TextBody"/>
        <w:bidi w:val="0"/>
        <w:spacing w:before="0" w:after="0"/>
        <w:jc w:val="left"/>
        <w:rPr/>
      </w:pPr>
      <w:r>
        <w:rPr/>
        <w:t>When appropriate and warranted, the Administration will pursue actions to impose economic costs on the malicious cyber actors responsible for such activity, including when such activity constitutes a violation of international trade rules or the rules of the World Trade Organization.</w:t>
      </w:r>
    </w:p>
    <w:p>
      <w:pPr>
        <w:pStyle w:val="TextBody"/>
        <w:bidi w:val="0"/>
        <w:spacing w:before="113" w:after="113"/>
        <w:ind w:left="113" w:right="113" w:hanging="0"/>
        <w:jc w:val="left"/>
        <w:rPr>
          <w:highlight w:val="lightGray"/>
        </w:rPr>
      </w:pPr>
      <w:r>
        <w:rPr>
          <w:highlight w:val="lightGray"/>
        </w:rPr>
        <w:t>Reference 10 - 0.18% Coverage</w:t>
      </w:r>
    </w:p>
    <w:p>
      <w:pPr>
        <w:pStyle w:val="TextBody"/>
        <w:bidi w:val="0"/>
        <w:spacing w:before="0" w:after="0"/>
        <w:jc w:val="left"/>
        <w:rPr/>
      </w:pPr>
      <w:r>
        <w:rPr/>
        <w:t>In establishing this new policy, the Administration is creating a means of imposing economic costs against not just those that conduct cyber attacks, but those responsible for supporting, enabling, or ordering such attacks.</w:t>
      </w:r>
    </w:p>
    <w:p>
      <w:pPr>
        <w:pStyle w:val="TextBody"/>
        <w:bidi w:val="0"/>
        <w:spacing w:before="113" w:after="113"/>
        <w:ind w:left="113" w:right="113" w:hanging="0"/>
        <w:jc w:val="left"/>
        <w:rPr>
          <w:highlight w:val="lightGray"/>
        </w:rPr>
      </w:pPr>
      <w:r>
        <w:rPr>
          <w:highlight w:val="lightGray"/>
        </w:rPr>
        <w:t>Reference 11 - 0.18% Coverage</w:t>
      </w:r>
    </w:p>
    <w:p>
      <w:pPr>
        <w:pStyle w:val="TextBody"/>
        <w:bidi w:val="0"/>
        <w:spacing w:before="0" w:after="0"/>
        <w:jc w:val="left"/>
        <w:rPr/>
      </w:pPr>
      <w:r>
        <w:rPr/>
        <w:t>Law enforcement can also be an effective deterrent to cyber threats both through denial (e.g., taking down a criminal botnet that could be used in an attack) or cost imposition (e.g., arresting the perpetrators of cyber attacks).</w:t>
      </w:r>
    </w:p>
    <w:p>
      <w:pPr>
        <w:pStyle w:val="TextBody"/>
        <w:bidi w:val="0"/>
        <w:spacing w:before="113" w:after="113"/>
        <w:ind w:left="113" w:right="113" w:hanging="0"/>
        <w:jc w:val="left"/>
        <w:rPr>
          <w:highlight w:val="lightGray"/>
        </w:rPr>
      </w:pPr>
      <w:r>
        <w:rPr>
          <w:highlight w:val="lightGray"/>
        </w:rPr>
        <w:t>Reference 12 - 0.18% Coverage</w:t>
      </w:r>
    </w:p>
    <w:p>
      <w:pPr>
        <w:pStyle w:val="TextBody"/>
        <w:bidi w:val="0"/>
        <w:spacing w:before="0" w:after="0"/>
        <w:jc w:val="left"/>
        <w:rPr/>
      </w:pPr>
      <w:r>
        <w:rPr/>
        <w:t xml:space="preserve">Successful investigations and prosecutions impose direct costs on malicious cyber actors, as well as states </w:t>
        <w:br/>
        <w:t xml:space="preserve">11 </w:t>
        <w:br/>
        <w:t>that may support or harbor them, and serve to deter persons or organizations from continuing to conduct such activity.</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By publicizing such cases, the United States ensures that malicious cyber actors understand that such actions will incur significant costs.</w:t>
      </w:r>
    </w:p>
    <w:p>
      <w:pPr>
        <w:pStyle w:val="TextBody"/>
        <w:bidi w:val="0"/>
        <w:spacing w:before="113" w:after="113"/>
        <w:ind w:left="113" w:right="113" w:hanging="0"/>
        <w:jc w:val="left"/>
        <w:rPr>
          <w:highlight w:val="lightGray"/>
        </w:rPr>
      </w:pPr>
      <w:r>
        <w:rPr>
          <w:highlight w:val="lightGray"/>
        </w:rPr>
        <w:t>Reference 14 - 0.22% Coverage</w:t>
      </w:r>
    </w:p>
    <w:p>
      <w:pPr>
        <w:pStyle w:val="TextBody"/>
        <w:bidi w:val="0"/>
        <w:spacing w:before="0" w:after="0"/>
        <w:jc w:val="left"/>
        <w:rPr/>
      </w:pPr>
      <w:r>
        <w:rPr/>
        <w:t>A credible U.S. cyber deterrent will require sustained efforts by all elements of the government to pursuing policies and capabilities that improve network defenses, bolster the Nation’s cyber resiliency, and provide options for imposing costs on malicious cyber actors.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