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3 references coded [ 0.21%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We are constraining Russia’s strategic economic sectors, including defense and aerospace, and we will continue to counter Russia’s attempts to weaken and destabilize sovereign nations and undermine multilateral institutions.</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This new framework relies on a sustainable and effective military posture focused on deterrence, strengthening partner capacity, enabling regional security integration, countering terrorist threats, and ensuring the free flow of global commerce.</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In coordination with international partners and regional bodies, we will counter democratic backsliding by imposing costs for coups and pressing for progress on civilian transitions.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[ 0.26%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In the event of conflict, the PRC likely intends to launch destructive cyber attacks against the U.S. Homeland in order to hinder military mobilization, sow chaos, and divert attention and resources.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[ 0.18%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To counter common threats, preserve and reinforce global Internet freedom, protect against transnational digital repression, and build toward a shared digital ecosystem that is more inherently resilient and defensible, the United States will work to scale the emerging model of collaboration by national cybersecurity stakeholders to cooperate with the international community.</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