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 references coded [ 0.18%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denying hostile actors the ability to operate within our borders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We must deny these groups the ability to conduct operational plotting from any locale, or to recruit, train, and position operatives, including those from Europe and North America.</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In Afghanistan, we must deny al-Qa’ida a safe haven, deny the Taliban the ability to overthrow the government</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We must also safeguard the sea, air, and space domains from those who would deny access or use them for hostile purposes. This includes keeping strategic straits and vital sea lanes open, improving the early detection of emerging maritime threats, denying adversaries hostile use of the air domain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[ 0.72%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denial of access or service that affects the availability of networks, information, or network-enabled resources</w:t>
      </w:r>
    </w:p>
    <w:p>
      <w:pPr>
        <w:pStyle w:val="TextBody"/>
        <w:bidi w:val="0"/>
        <w:spacing w:before="113" w:after="113"/>
        <w:ind w:left="113" w:right="113" w:hanging="0"/>
        <w:jc w:val="left"/>
        <w:rPr>
          <w:highlight w:val="lightGray"/>
        </w:rPr>
      </w:pPr>
      <w:r>
        <w:rPr>
          <w:highlight w:val="lightGray"/>
        </w:rPr>
        <w:t>Reference 2 - 0.57% Coverage</w:t>
      </w:r>
    </w:p>
    <w:p>
      <w:pPr>
        <w:pStyle w:val="TextBody"/>
        <w:bidi w:val="0"/>
        <w:spacing w:before="0" w:after="0"/>
        <w:jc w:val="left"/>
        <w:rPr/>
      </w:pPr>
      <w:r>
        <w:rPr/>
        <w:t>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Denying an aggressor the benefits of achieving its objectives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employs a combination of detection, deterrence, denial, and multi-layered defense.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 references coded [ 0.11%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deny criminals safe havens,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Deny terrorists and other criminals the ability to exploit the Internet for operational planning, financing, or attacks.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 capabilities to deny adversaries’ objectives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