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4 references coded [ 0.18%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denying hostile actors the ability to operate within our borders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must deny these groups the ability to conduct operational plotting from any locale, or to recruit, train, and position operatives, including those from Europe and North America.</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In Afghanistan, we must deny al-Qa’ida a safe haven, deny the Taliban the ability to overthrow the government</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We must also safeguard the sea, air, and space domains from those who would deny access or use them for hostile purposes. This includes keeping strategic straits and vital sea lanes open, improving the early detection of emerging maritime threats, denying adversaries hostile use of the air domain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capabilities to deny adversaries’ objectives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[ 0.72%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denial of access or service that affects the availability of networks, information, or network-enabled resources</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 references coded [ 0.11%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 criminals safe havens,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Deny terrorists and other criminals the ability to exploit the Internet for operational planning, financing, or attacks.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Denying an aggressor the benefits of achieving its objectives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[ 0.16%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[ 0.51%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 xml:space="preserve">Denial: While DoD has made progress in building the Cyber Mission Force, 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Attribution enables the Defense Department or other agencies to conduct response and denial operations against an incoming cyberattack.</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8 references coded [ 0.81%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the U.S. military stands ready to project power to deny an adversary’s objectives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 case of aggression, denying adversaries their goals will be an immediate objective.</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Deny an adversary’s objectives</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 xml:space="preserve">Deny an Adversary’s Objectives. Denying an adversary’s goals or imposing </w:t>
        <w:br/>
        <w:t>unacceptable costs is central to achieving our objectives.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 references coded [ 0.08%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deny the peaceful use of outer space.</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8 references coded [ 0.91%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Deterrence by denial efforts aim to persuade adversaries that the United States can thwart malicious cyber activity, thereby reducing the incentive to conduct such activities.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(2) deny adversaries access to infrastructure used to conduct malicious cyber activity.</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Law enforcement can also deny adversaries access to the infrastructure used to conduct malicious cyber activities against the United States.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9 references coded [ 0.42%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layered missile defense system will defend our homeland against missile att acks.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is deploying a layered missile defense system focused on North Korea and Iran to defend our homeland against missile attacks.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will deny violent ideologies the space to take root by improving trust among law enforcement, the private sector, and American citizens.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DEFEND COMMUNITIES: We will deny TCOs the ability to harm Americans.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Today, they are ﬁ elding military capabilities designed to deny America access in times of crisis and to contest our ability to operate freely in critical commercial zones during peacetime.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must ensure the ability to deter potential enemies by denial, convincing them that they cannot accomplish objectives through the use of force or other forms of aggression.</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will deny revenue to terrorists, WMD proliferators, and other illicit actors in order to constrain their ability to use and move funds to support hostile acts and operations.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will work with partners to deny the Iranian regime all paths to a nuclear weapon and neutralize Iranian malign influence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