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3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an unmatched military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maintain our military’s conventional superiority, while enhancing its capacity to defeat asymmetric threats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most powerful military,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7 references coded [ 0.74%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While the strength of our military will continue to underpin national security,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potential adversaries who underestimate our continued military strength and will to protect our national interests do so at their peril.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platforms that challenge our ability to project power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requires America’s Joint Force possesses the reach, resolve, and ability to project decisive military power.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 project power in all domains.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force, at times, may be necessary to defend our Nation and allies or to preserve broader peace and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7 - 0.27%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core military competencies include complementary, multi-domain power </w:t>
        <w:br/>
        <w:t xml:space="preserve">A prosperous and interconnected world </w:t>
        <w:br/>
        <w:t xml:space="preserve">requires a stable and secure environment, the absence of territorial aggression or </w:t>
        <w:br/>
        <w:t xml:space="preserve">conflict between states, and reliable access to resources and cyberspace for stable markets. </w:t>
        <w:br/>
        <w:t xml:space="preserve">8 </w:t>
        <w:br/>
        <w:t>projection,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3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power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dominant U.S. power projection 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naval forces likewise will continue to be capable of robust forward presence and power projection operations,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