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1 reference coded [ 0.14%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Deterrence by denial efforts aim to persuade adversaries that the United States can thwart malicious cyber activity, thereby reducing the incentive to conduct such activities.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3 references coded [ 0.17%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Experience suggests that the willingness of rivals to abandon or forgo aggression depends on their perception of U.S. strength and the vitality of our alliances.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Multilateral economic pressure is often more effective because it limits the ability of targeted states to circumvent measures and conveys united resolve.</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Although the United States seeks to continue to cooperate with China, China is using economic inducements and penalties, influence operations, and implied military threats to persuade other states to heed its political and security agenda.</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