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More actors exert power and influence.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Deterrence by denial efforts aim to persuade adversaries that the United States can thwart malicious cyber activity, thereby reducing the incentive to conduct such activities.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 references coded [ 0.17%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Experience suggests that the willingness of rivals to abandon or forgo aggression depends on their perception of U.S. strength and the vitality of our alliances.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Multilateral economic pressure is often more effective because it limits the ability of targeted states to circumvent measures and conveys united resolve.</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Although the United States seeks to continue to cooperate with China, China is using economic inducements and penalties, influence operations, and implied military threats to persuade other states to heed its political and security agenda.</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[ 0.36% Coverage]</w:t>
      </w:r>
    </w:p>
    <w:p>
      <w:pPr>
        <w:pStyle w:val="BodyText"/>
        <w:bidi w:val="0"/>
        <w:spacing w:before="0" w:after="0"/>
        <w:ind w:hanging="0" w:left="150" w:right="150"/>
        <w:jc w:val="left"/>
        <w:rPr>
          <w:shd w:fill="D3D3D3" w:val="clear"/>
        </w:rPr>
      </w:pPr>
      <w:r>
        <w:rPr>
          <w:shd w:fill="D3D3D3" w:val="clear"/>
        </w:rPr>
        <w:t>Reference 1 - 0.36% Coverage</w:t>
      </w:r>
    </w:p>
    <w:p>
      <w:pPr>
        <w:pStyle w:val="BodyText"/>
        <w:bidi w:val="0"/>
        <w:spacing w:before="0" w:after="0"/>
        <w:jc w:val="left"/>
        <w:rPr/>
      </w:pPr>
      <w:r>
        <w:rPr/>
        <w:t>Counter coercion and subversion. In competition short of armed conflict, revisionist powers and rogue regimes are using corruption, predatory economic practices, propaganda, political subversion, proxies, and the threat or use of military force to change facts on the ground.</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Our competitors, particularly the PRC, are pursuing holistic strategies that employ varied forms of coercion, malign behavior, and aggression to achieve their objectives and weaken the foundations of a stable and open international system.</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 references coded [ 0.15%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ind w:hanging="0" w:left="0" w:right="0"/>
        <w:jc w:val="left"/>
        <w:rPr>
          <w:shd w:fill="39B8E6" w:val="clear"/>
        </w:rPr>
      </w:pPr>
      <w:r>
        <w:rPr>
          <w:shd w:fill="39B8E6" w:val="clear"/>
        </w:rPr>
        <w:t>Our National Defense Strategy relies on integrated deterrence: the seamless combination of capabilities to convince potential adversaries that the costs of their hostile activities outweigh their benefits.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jc w:val="left"/>
        <w:rPr/>
      </w:pPr>
      <w:r>
        <w:rPr/>
        <w:t>We will hold Beijing accountable for abuses – genocide and crimes against humanity in Xinjiang, human rights violations in Tibet, and the dismantling of Hong Kong’s autonomy and freedoms – even as it seeks to pressure countries and communities into silence.</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Definition of Integrated Deterrence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