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2 references coded [ 0.36%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will, on order, be prepared to respond to any attack across the full spectrum of military capabilities with an appropriate and measured response at a time and place of our Nation’s choosing.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We will also train for power projection operations in space-degraded environments that minimize the </w:t>
        <w:br/>
        <w:t xml:space="preserve">9 </w:t>
        <w:br/>
        <w:t>incentives to attack space capabilities, and will maintain a range of options to deter or punish such activities.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punishing offenders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