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International Strategy for Cyberspace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punishing offenders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Study\\CS1_Primary Sources_Policy_Strategies\\2011 National Military Strategy - § 2 references coded [ 0.36%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1 - 0.17%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will, on order, be prepared to respond to any attack across the full spectrum of military capabilities with an appropriate and measured response at a time and place of our Nation’s choosing.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2 - 0.19% Coverage</w:t>
      </w:r>
    </w:p>
    <w:p>
      <w:pPr>
        <w:pStyle w:val="TextBody"/>
        <w:bidi w:val="0"/>
        <w:spacing w:before="0" w:after="0"/>
        <w:jc w:val="left"/>
        <w:rPr/>
      </w:pPr>
      <w:r>
        <w:rPr/>
        <w:t xml:space="preserve">We will also train for power projection operations in space-degraded environments that minimize the </w:t>
        <w:br/>
        <w:t xml:space="preserve">9 </w:t>
        <w:br/>
        <w:t>incentives to attack space capabilities, and will maintain a range of options to deter or punish such activities.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Sources_Policy_Strategies\\2017 National Security Strategy - § 1 reference coded [ 0.03%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1 - 0.03%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must convince adversaries that we can and will defeat them—not just punish them if they att ack the United States.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Files\\2018 Case Study\\CS3_Primary Sources_Policy_Strategies\\2018 National Cyber Strategy - § 1 reference coded [ 0.16%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1 - 0.16%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(3) preserve peace and security by strengthening the United States’ ability — in concert with allies and partners — to deter and if necessary punish those who use cyber tools for malicious purposes;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