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[ 0.26%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In addition to defensive measures, the United States Government must also ensure the resiliency of its networks, systems and data. To do so, the Administration has implemented policies intended to improve the Federal government’s ability to identify and respond to incidents, and reconstitute rapidly if attacks succeed.</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 references coded [ 0.10%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At the same time, it should be clear that the United States will not cede sovereignty to those that claim authority over American citizens and are in conflict with our constitutional framework.</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must be realistic about our expectations for the region without allowing pessimism to obscure our interests or vision for a modern Middle East.</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