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5 references coded [ 0.21%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some actors use largely legitimate, legal transfers and relationships to gain access to fields, experts, and trusted foundries that fill their capability gaps and erode America’s long-term compet itive advantages.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They are patient and content to accrue strategic gains over time—making it harder for the United States and our allies to respond.</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And as these incremental gains are realized, over time, a new status quo emerges.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As U.S. dependence on space has increased, other actors have gained access to space-based systems and information.</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China presents its ambitions as mutually beneficial, but Chinese dominance risks diminishing the sovereignty of many states in the IndoPacific.</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we will work to prevent adversarial nation states from gaining unfair advantage at the expense of American research and development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2 references coded [ 0.11%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We are experienced in using and applying our power in combination with our allies and partners who add significantly to our own strengths.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It benefits from the openness of the international economy while limiting access to its domestic market, and it seeks to make the world more dependent on the PRC while reducing its own dependence on the world.</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