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status quo is no longer acceptable. The United States must signal to the world that it is serious about addressing this challenge with strong leadership and vision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Anchoring and elevating leadership for cybersecurity-related policies at the White House signals to the United States and the international community that we are serious about cybersecurity.</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[ 0.70%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The United States has been clear that it will respond to a cyberattack on U.S. interests through its defense capabilities. The United States has articulated this declaratory policy in the 2011 United States International Strategy for Cyberspace, in the Department of Defense Cyberspace Policy Report to Congress of 2011, and through public statements by the President and the Secretary of Defense.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will also develop technologies and tactics to deter and defeat efforts to attack our space systems; enable indications, warning, and attributions of such attacks;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7 references coded [ 1.54%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Declaratory Policy and Strategic Communications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BodyText"/>
        <w:bidi w:val="0"/>
        <w:spacing w:before="0" w:after="0"/>
        <w:ind w:hanging="0" w:left="150" w:right="150"/>
        <w:jc w:val="left"/>
        <w:rPr>
          <w:shd w:fill="D3D3D3" w:val="clear"/>
        </w:rPr>
      </w:pPr>
      <w:r>
        <w:rPr>
          <w:shd w:fill="D3D3D3" w:val="clear"/>
        </w:rPr>
        <w:t>Reference 3 - 0.29% Coverage</w:t>
      </w:r>
    </w:p>
    <w:p>
      <w:pPr>
        <w:pStyle w:val="BodyText"/>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Declaratory Policy and Strategic Communications</w:t>
      </w:r>
    </w:p>
    <w:p>
      <w:pPr>
        <w:pStyle w:val="BodyText"/>
        <w:bidi w:val="0"/>
        <w:spacing w:before="0" w:after="0"/>
        <w:ind w:hanging="0" w:left="150" w:right="150"/>
        <w:jc w:val="left"/>
        <w:rPr>
          <w:shd w:fill="D3D3D3" w:val="clear"/>
        </w:rPr>
      </w:pPr>
      <w:r>
        <w:rPr>
          <w:shd w:fill="D3D3D3" w:val="clear"/>
        </w:rPr>
        <w:t>Reference 5 - 0.62% Coverage</w:t>
      </w:r>
    </w:p>
    <w:p>
      <w:pPr>
        <w:pStyle w:val="BodyText"/>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 Such signaling can be direct or indirect, private or public. However, the United States must maintain consistent and credible messages and messengers, and develop the shared situational awareness necessary to determine whether an adversary received the signal and interpreted it correctly. To that end, the whole-of-government consultative process, constant collaboration with the private sector, and international coordination all increase the likelihood that the signaling component of the U.S. deterrent effort is successful.</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The United States has issued clear statements in the past regarding the U.S. intention to respond as necessary and appropriate to cyber threats.</w:t>
      </w:r>
    </w:p>
    <w:p>
      <w:pPr>
        <w:pStyle w:val="BodyText"/>
        <w:bidi w:val="0"/>
        <w:spacing w:before="0" w:after="0"/>
        <w:ind w:hanging="0" w:left="150" w:right="150"/>
        <w:jc w:val="left"/>
        <w:rPr>
          <w:shd w:fill="D3D3D3" w:val="clear"/>
        </w:rPr>
      </w:pPr>
      <w:r>
        <w:rPr>
          <w:shd w:fill="D3D3D3" w:val="clear"/>
        </w:rPr>
        <w:t>Reference 7 - 0.22% Coverage</w:t>
      </w:r>
    </w:p>
    <w:p>
      <w:pPr>
        <w:pStyle w:val="BodyText"/>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Deterring cybercrime requires a credible threat that perpetrators will be identified, apprehended, and brought to justice.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[ 0.12%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PRC’s clearly stated intentions and the rapid modernization and expansion of its military.</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Role of Information in Deterrence. Deterrence depends in part on competitors’ understanding of U.S. intent and capabilities.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To strengthen deterrence while managing escalation risks, the Department will enhance its ability to operate in the information domain – for example, by working to ensure that messages are conveyed effectively.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