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Détecter la tendance du moment : un retard borné</w:t>
      </w:r>
    </w:p>
    <w:p>
      <w:pPr>
        <w:spacing w:after="240"/>
      </w:pPr>
      <w:r>
        <w:rPr>
          <w:i/>
          <w:iCs/>
          <w:color w:val="666666"/>
        </w:rPr>
        <w:t xml:space="preserve">Note de synthèse : choix d'un indicateur de tendance selon un critère d'exploitabilité</w:t>
      </w:r>
    </w:p>
    <w:p>
      <w:pPr>
        <w:pStyle w:val="Heading1"/>
      </w:pPr>
      <w:r>
        <w:t xml:space="preserve">1. Le constat de départ</w:t>
      </w:r>
    </w:p>
    <w:p>
      <w:pPr>
        <w:spacing w:after="120"/>
      </w:pPr>
      <w:r>
        <w:t xml:space="preserve">Tout indicateur causal (qui n'utilise que le passé) subit un compromis incontournable : réactivité contre bruit. Réduire le retard augmente les faux signaux, et inversement. Cela vaut pour la moyenne mobile, le MACD, Hull, Kalman, Supertrend, etc.</w:t>
      </w:r>
    </w:p>
    <w:p>
      <w:pPr>
        <w:spacing w:after="120"/>
      </w:pPr>
      <w:r>
        <w:t xml:space="preserve">Aucun indicateur n'« anticipe » : les meilleurs ne font que réduire le retard en acceptant plus d'erreurs. Deviner la tendance avant qu'elle ne se voie dans les prix relève de la prédiction, une autre question, bien plus difficile.</w:t>
      </w:r>
    </w:p>
    <w:p>
      <w:pPr>
        <w:spacing w:after="120"/>
      </w:pPr>
      <w:r>
        <w:t xml:space="preserve">Ce qui est atteignable, c'est un </w:t>
      </w:r>
      <w:r>
        <w:rPr>
          <w:b/>
          <w:bCs/>
        </w:rPr>
        <w:t xml:space="preserve">retard borné</w:t>
      </w:r>
      <w:r>
        <w:t xml:space="preserve"> : être faux de temps en temps, mais jamais trop longtemps. C'est exactement la contrainte exprimée.</w:t>
      </w:r>
    </w:p>
    <w:p>
      <w:pPr>
        <w:pStyle w:val="Heading1"/>
      </w:pPr>
      <w:r>
        <w:t xml:space="preserve">2. Étape 1 : définir la tendance (vérité terrain)</w:t>
      </w:r>
    </w:p>
    <w:p>
      <w:pPr>
        <w:spacing w:after="120"/>
      </w:pPr>
      <w:r>
        <w:t xml:space="preserve">Sans définition, impossible de comparer les indicateurs. On définit la tendance a posteriori, avec un outil non causal qui ne sert pas en live mais d'étiquette :</w:t>
      </w:r>
    </w:p>
    <w:p>
      <w:pPr>
        <w:pStyle w:val="ListParagraph"/>
        <w:numPr>
          <w:ilvl w:val="0"/>
          <w:numId w:val="2"/>
        </w:numPr>
        <w:spacing w:after="80"/>
      </w:pPr>
      <w:r>
        <w:t xml:space="preserve">un ZigZag (retournement quand le prix bouge de X % depuis le dernier extrême) ;</w:t>
      </w:r>
    </w:p>
    <w:p>
      <w:pPr>
        <w:pStyle w:val="ListParagraph"/>
        <w:numPr>
          <w:ilvl w:val="0"/>
          <w:numId w:val="2"/>
        </w:numPr>
        <w:spacing w:after="80"/>
      </w:pPr>
      <w:r>
        <w:t xml:space="preserve">ou un lissage centré.</w:t>
      </w:r>
    </w:p>
    <w:p>
      <w:pPr>
        <w:spacing w:after="120"/>
      </w:pPr>
      <w:r>
        <w:t xml:space="preserve">Chaque jour du passé est alors étiqueté haussier, baissier ou neutre.</w:t>
      </w:r>
    </w:p>
    <w:p>
      <w:pPr>
        <w:pStyle w:val="Heading1"/>
      </w:pPr>
      <w:r>
        <w:t xml:space="preserve">3. Étape 2 : mesurer ce qui gêne vraiment</w:t>
      </w:r>
    </w:p>
    <w:p>
      <w:pPr>
        <w:spacing w:after="120"/>
      </w:pPr>
      <w:r>
        <w:t xml:space="preserve">Pour chaque indicateur candidat, comparé aux étiquettes :</w:t>
      </w:r>
    </w:p>
    <w:p>
      <w:pPr>
        <w:pStyle w:val="ListParagraph"/>
        <w:numPr>
          <w:ilvl w:val="0"/>
          <w:numId w:val="2"/>
        </w:numPr>
        <w:spacing w:after="80"/>
      </w:pPr>
      <w:r>
        <w:rPr>
          <w:b/>
          <w:bCs/>
        </w:rPr>
        <w:t xml:space="preserve">Retard de détection : </w:t>
      </w:r>
      <w:r>
        <w:t xml:space="preserve">combien de jours après le vrai retournement l'indicateur bascule-t-il ?</w:t>
      </w:r>
    </w:p>
    <w:p>
      <w:pPr>
        <w:pStyle w:val="ListParagraph"/>
        <w:numPr>
          <w:ilvl w:val="0"/>
          <w:numId w:val="2"/>
        </w:numPr>
        <w:spacing w:after="80"/>
      </w:pPr>
      <w:r>
        <w:rPr>
          <w:b/>
          <w:bCs/>
        </w:rPr>
        <w:t xml:space="preserve">Longueur des séquences fausses : </w:t>
      </w:r>
      <w:r>
        <w:t xml:space="preserve">surtout le 90e ou 95e percentile, pas la moyenne. C'est la contrainte « faux trop longtemps ».</w:t>
      </w:r>
    </w:p>
    <w:p>
      <w:pPr>
        <w:pStyle w:val="ListParagraph"/>
        <w:numPr>
          <w:ilvl w:val="0"/>
          <w:numId w:val="2"/>
        </w:numPr>
        <w:spacing w:after="80"/>
      </w:pPr>
      <w:r>
        <w:rPr>
          <w:b/>
          <w:bCs/>
        </w:rPr>
        <w:t xml:space="preserve">Taux de bascules parasites </w:t>
      </w:r>
      <w:r>
        <w:t xml:space="preserve">(whipsaws).</w:t>
      </w:r>
    </w:p>
    <w:p>
      <w:pPr>
        <w:spacing w:after="120" w:before="120"/>
      </w:pPr>
      <w:r>
        <w:t xml:space="preserve">Une moyenne de « 70 % de bonnes réponses » cache tout cela. Un indicateur peut avoir 70 % de réussite avec une série d'erreurs de 40 jours une fois par an, ce qui serait inexploitable.</w:t>
      </w:r>
    </w:p>
    <w:p>
      <w:pPr>
        <w:pStyle w:val="Heading1"/>
      </w:pPr>
      <w:r>
        <w:t xml:space="preserve">4. Étape 3 : les candidats (du plus simple au plus riche)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r>
              <w:rPr>
                <w:b/>
                <w:bCs/>
              </w:rPr>
              <w:t xml:space="preserve">Candidat</w:t>
            </w:r>
          </w:p>
        </w:tc>
        <w:tc>
          <w:tcPr>
            <w:tcW w:type="dxa" w:w="6626"/>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r>
              <w:rPr>
                <w:b/>
                <w:bCs/>
              </w:rPr>
              <w:t xml:space="preserve">Intérêt principal</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Pente d'un Kalman à tendance locale</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Estime niveau et pente, et fournit l'incertitude sur la pente. On ne déclare « tendance » que si pente / écart-type dépasse un seuil : on sait quand on ne sait pas.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Ratio d'efficience de Kaufman</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|variation nette| / somme des variations absolues sur N jours. Proche de 1 : tendance nette ; proche de 0 : bruit. Permet de répondre « pas de tendance exploitable ».</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Supertrend / canaux ATR</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Bascule seulement quand le prix dépasse un seuil proportionnel à la volatilité. Retard assumé, mais séquences fausses courtes car la sortie est bornée par l'ATR.</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Multi-échelles</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Pente courte et pente longue. Accord : tendance confirmée ; désaccord : zone grise (retournement ou correction possible). Donne trois états au lieu de deux.</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HMM à 2-3 régimes</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Sort une probabilité de régime plutôt qu'un oui/non. Plus lourd à caler, et les régimes sont instables d'une période à l'autre.</w:t>
            </w:r>
          </w:p>
        </w:tc>
      </w:tr>
    </w:tbl>
    <w:p>
      <w:pPr>
        <w:spacing w:after="60"/>
      </w:pPr>
      <w:r>
        <w:t xml:space="preserve"/>
      </w:r>
    </w:p>
    <w:p>
      <w:pPr>
        <w:pStyle w:val="Heading1"/>
      </w:pPr>
      <w:r>
        <w:t xml:space="preserve">5. Recommandation</w:t>
      </w:r>
    </w:p>
    <w:p>
      <w:pPr>
        <w:spacing w:after="120"/>
      </w:pPr>
      <w:r>
        <w:t xml:space="preserve">Ne pas commencer par choisir un indicateur. Construire d'abord les étapes 1 et 2 (étiquettes et métriques), puis faire passer les indicateurs déjà disponibles dans ce banc d'essai. Sinon, on ajoute un énième indicateur sans pouvoir dire s'il fait mieux.</w:t>
      </w:r>
    </w:p>
    <w:p>
      <w:pPr>
        <w:spacing w:after="120"/>
      </w:pPr>
      <w:r>
        <w:t xml:space="preserve">C'est aussi la seule façon de savoir si le gain de réactivité d'un candidat vaut ses faux signaux, sur les actions et l'horizon réellement utilisés.</w:t>
      </w:r>
    </w:p>
    <w:p>
      <w:pPr>
        <w:pStyle w:val="Heading1"/>
      </w:pPr>
      <w:r>
        <w:t xml:space="preserve">6. Question ouverte</w:t>
      </w:r>
    </w:p>
    <w:p>
      <w:pPr>
        <w:spacing w:after="120"/>
      </w:pPr>
      <w:r>
        <w:rPr>
          <w:b/>
          <w:bCs/>
        </w:rPr>
        <w:t xml:space="preserve">Quel est l'horizon de trading (jours, semaines, mois) ? </w:t>
      </w:r>
      <w:r>
        <w:t xml:space="preserve">Il fixe l'amplitude X % du ZigZag et le retard tolérable, donc tout le reste de la démarche.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A5F"/>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de tendance à retard borné</dc:title>
  <dc:creator>Claude</dc:creator>
  <cp:lastModifiedBy>Un-named</cp:lastModifiedBy>
  <cp:revision>1</cp:revision>
  <dcterms:created xsi:type="dcterms:W3CDTF">2026-10-05T05:49:20.776Z</dcterms:created>
  <dcterms:modified xsi:type="dcterms:W3CDTF">2026-10-05T05:49:20.777Z</dcterms:modified>
</cp:coreProperties>
</file>

<file path=docProps/custom.xml><?xml version="1.0" encoding="utf-8"?>
<Properties xmlns="http://schemas.openxmlformats.org/officeDocument/2006/custom-properties" xmlns:vt="http://schemas.openxmlformats.org/officeDocument/2006/docPropsVTypes"/>
</file>