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  <w:sz w:val="44"/>
        </w:rPr>
        <w:t xml:space="preserve">Heart Disease Risk Prediction</w:t>
      </w:r>
    </w:p>
    <w:p>
      <w:pPr>
        <w:pStyle w:val="Subtitle"/>
      </w:pPr>
      <w:r>
        <w:rPr>
          <w:sz w:val="22"/>
        </w:rPr>
        <w:t xml:space="preserve">An end-to-end MLOps pipeline: experiment tracking, CI/CD, containerisation, Kubernetes and monitoring</w:t>
      </w:r>
    </w:p>
    <w:tbl>
      <w:tblPr>
        <w:tblW w:w="9906" w:type="dxa"/>
        <w:tblCellMar>
          <w:left w:w="70" w:type="dxa"/>
          <w:right w:w="70" w:type="dxa"/>
        </w:tblCellMar>
      </w:tblPr>
      <w:tblGrid>
        <w:gridCol w:w="1584"/>
        <w:gridCol w:w="8321"/>
      </w:tblGrid>
      <w:tr>
        <w:tc>
          <w:tcPr>
            <w:tcW w:w="1584" w:type="dxa"/>
          </w:tcPr>
          <w:p>
            <w:pPr>
              <w:spacing w:before="20" w:after="20"/>
            </w:pPr>
            <w:r>
              <w:rPr>
                <w:b/>
                <w:sz w:val="19"/>
              </w:rPr>
              <w:t xml:space="preserve">Course</w:t>
            </w:r>
          </w:p>
        </w:tc>
        <w:tc>
          <w:tcPr>
            <w:tcW w:w="8321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Machine Learning Operations (MLOps), AIMLCZG523 - Assignment 1</w:t>
            </w:r>
          </w:p>
        </w:tc>
      </w:tr>
      <w:tr>
        <w:tc>
          <w:tcPr>
            <w:tcW w:w="1584" w:type="dxa"/>
          </w:tcPr>
          <w:p>
            <w:pPr>
              <w:spacing w:before="20" w:after="20"/>
            </w:pPr>
            <w:r>
              <w:rPr>
                <w:b/>
                <w:sz w:val="19"/>
              </w:rPr>
              <w:t xml:space="preserve">Student</w:t>
            </w:r>
          </w:p>
        </w:tc>
        <w:tc>
          <w:tcPr>
            <w:tcW w:w="8321" w:type="dxa"/>
          </w:tcPr>
          <w:p>
            <w:pPr>
              <w:spacing w:before="20" w:after="20"/>
            </w:pPr>
            <w:r>
              <w:rPr>
                <w:sz w:val="19"/>
                <w:highlight w:val="yellow"/>
              </w:rPr>
              <w:t xml:space="preserve">Your full name</w:t>
            </w:r>
            <w:r>
              <w:rPr>
                <w:sz w:val="19"/>
              </w:rPr>
              <w:t xml:space="preserve">    BITS ID: </w:t>
            </w:r>
            <w:r>
              <w:rPr>
                <w:sz w:val="19"/>
                <w:highlight w:val="yellow"/>
              </w:rPr>
              <w:t xml:space="preserve">Your BITS ID</w:t>
            </w:r>
          </w:p>
        </w:tc>
      </w:tr>
      <w:tr>
        <w:tc>
          <w:tcPr>
            <w:tcW w:w="1584" w:type="dxa"/>
          </w:tcPr>
          <w:p>
            <w:pPr>
              <w:spacing w:before="20" w:after="20"/>
            </w:pPr>
            <w:r>
              <w:rPr>
                <w:b/>
                <w:sz w:val="19"/>
              </w:rPr>
              <w:t xml:space="preserve">Code repository</w:t>
            </w:r>
          </w:p>
        </w:tc>
        <w:tc>
          <w:tcPr>
            <w:tcW w:w="8321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https://github.com/pnand5/heart-disease-mlops</w:t>
            </w:r>
          </w:p>
        </w:tc>
      </w:tr>
      <w:tr>
        <w:tc>
          <w:tcPr>
            <w:tcW w:w="1584" w:type="dxa"/>
          </w:tcPr>
          <w:p>
            <w:pPr>
              <w:spacing w:before="20" w:after="20"/>
            </w:pPr>
            <w:r>
              <w:rPr>
                <w:b/>
                <w:sz w:val="19"/>
              </w:rPr>
              <w:t xml:space="preserve">Deployed API</w:t>
            </w:r>
          </w:p>
        </w:tc>
        <w:tc>
          <w:tcPr>
            <w:tcW w:w="8321" w:type="dxa"/>
          </w:tcPr>
          <w:p>
            <w:pPr>
              <w:spacing w:before="20" w:after="20"/>
            </w:pPr>
            <w:r>
              <w:rPr>
                <w:sz w:val="19"/>
              </w:rPr>
              <w:t xml:space="preserve">http://localhost:8080 (Docker Desktop Kubernetes, local; see section 9)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rPr/>
        <w:t xml:space="preserve">1. Overview</w:t>
      </w:r>
    </w:p>
    <w:p>
      <w:pPr>
        <w:jc w:val="both"/>
      </w:pPr>
      <w:r>
        <w:rPr/>
        <w:t xml:space="preserve">The goal is a reproducible, automated and observable machine-learning service that predicts whether a patient has heart disease from routine clinical measurements. I used the UCI Heart Disease (Cleveland) dataset: 303 patients, 13 predictors and a target that I binarised into </w:t>
      </w:r>
      <w:r>
        <w:rPr>
          <w:i/>
        </w:rPr>
        <w:t xml:space="preserve">no disease</w:t>
      </w:r>
      <w:r>
        <w:rPr/>
        <w:t xml:space="preserve"> versus </w:t>
      </w:r>
      <w:r>
        <w:rPr>
          <w:i/>
        </w:rPr>
        <w:t xml:space="preserve">disease</w:t>
      </w:r>
      <w:r>
        <w:rPr/>
        <w:t xml:space="preserve">. The final model is a </w:t>
      </w:r>
      <w:r>
        <w:rPr>
          <w:b/>
        </w:rPr>
        <w:t xml:space="preserve">Logistic Regression</w:t>
      </w:r>
      <w:r>
        <w:rPr/>
        <w:t xml:space="preserve"> inside a single scikit-learn pipeline, served by a FastAPI container on a local Kubernetes cluster, with request logging, Prometheus metrics and a Grafana dashboard.</w:t>
      </w:r>
    </w:p>
    <w:tbl>
      <w:tblPr>
        <w:tblW w:w="9906" w:type="dxa"/>
        <w:tblBorders>
          <w:top w:val="single" w:sz="4" w:color="B2BABB"/>
          <w:left w:val="single" w:sz="4" w:color="B2BABB"/>
          <w:bottom w:val="single" w:sz="4" w:color="B2BABB"/>
          <w:right w:val="single" w:sz="4" w:color="B2BABB"/>
          <w:insideH w:val="single" w:sz="4" w:color="B2BABB"/>
          <w:insideV w:val="single" w:sz="4" w:color="B2BABB"/>
        </w:tblBorders>
        <w:tblCellMar>
          <w:left w:w="70" w:type="dxa"/>
          <w:right w:w="70" w:type="dxa"/>
        </w:tblCellMar>
      </w:tblPr>
      <w:tblGrid>
        <w:gridCol w:w="3368"/>
        <w:gridCol w:w="2179"/>
        <w:gridCol w:w="1584"/>
        <w:gridCol w:w="1584"/>
        <w:gridCol w:w="1188"/>
      </w:tblGrid>
      <w:tr>
        <w:tc>
          <w:tcPr>
            <w:tcW w:w="3368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tcW w:w="2179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CV ROC-AUC (5-fold)</w:t>
            </w:r>
          </w:p>
        </w:tc>
        <w:tc>
          <w:tcPr>
            <w:tcW w:w="1584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Test ROC-AUC</w:t>
            </w:r>
          </w:p>
        </w:tc>
        <w:tc>
          <w:tcPr>
            <w:tcW w:w="1584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Test accuracy</w:t>
            </w:r>
          </w:p>
        </w:tc>
        <w:tc>
          <w:tcPr>
            <w:tcW w:w="1188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Test recall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Logistic Regression (selected)</w:t>
            </w:r>
          </w:p>
        </w:tc>
        <w:tc>
          <w:tcPr>
            <w:tcW w:w="2179" w:type="dxa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0.902 +/- 0.014</w:t>
            </w:r>
          </w:p>
        </w:tc>
        <w:tc>
          <w:tcPr>
            <w:tcW w:w="158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0.966</w:t>
            </w:r>
          </w:p>
        </w:tc>
        <w:tc>
          <w:tcPr>
            <w:tcW w:w="158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0.885</w:t>
            </w:r>
          </w:p>
        </w:tc>
        <w:tc>
          <w:tcPr>
            <w:tcW w:w="118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0.929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Random Forest</w:t>
            </w:r>
          </w:p>
        </w:tc>
        <w:tc>
          <w:tcPr>
            <w:tcW w:w="217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0.901 +/- 0.023</w:t>
            </w:r>
          </w:p>
        </w:tc>
        <w:tc>
          <w:tcPr>
            <w:tcW w:w="158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0.944</w:t>
            </w:r>
          </w:p>
        </w:tc>
        <w:tc>
          <w:tcPr>
            <w:tcW w:w="158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0.836</w:t>
            </w:r>
          </w:p>
        </w:tc>
        <w:tc>
          <w:tcPr>
            <w:tcW w:w="118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0.821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>
            <w:tcW w:w="217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0.875 +/- 0.030</w:t>
            </w:r>
          </w:p>
        </w:tc>
        <w:tc>
          <w:tcPr>
            <w:tcW w:w="158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0.951</w:t>
            </w:r>
          </w:p>
        </w:tc>
        <w:tc>
          <w:tcPr>
            <w:tcW w:w="158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0.885</w:t>
            </w:r>
          </w:p>
        </w:tc>
        <w:tc>
          <w:tcPr>
            <w:tcW w:w="118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0.929</w:t>
            </w:r>
          </w:p>
        </w:tc>
      </w:tr>
    </w:tbl>
    <w:p>
      <w:pPr>
        <w:spacing w:before="0" w:after="40"/>
      </w:pPr>
    </w:p>
    <w:p>
      <w:pPr>
        <w:jc w:val="both"/>
      </w:pPr>
      <w:r>
        <w:rPr/>
        <w:t xml:space="preserve">Logistic Regression and Random Forest are statistically tied on cross-validation, and the test split holds only 61 patients, so the choice rests on simplicity and interpretability rather than on a meaningful accuracy gap (section 5).</w:t>
      </w:r>
    </w:p>
    <w:p>
      <w:pPr>
        <w:pStyle w:val="Heading1"/>
      </w:pPr>
      <w:r>
        <w:rPr/>
        <w:t xml:space="preserve">2. Architecture</w:t>
      </w:r>
    </w:p>
    <w:p>
      <w:pPr>
        <w:jc w:val="center"/>
      </w:pPr>
      <w:r>
        <w:drawing>
          <wp:inline distT="0" distB="0" distL="0" distR="0">
            <wp:extent cx="6290310" cy="409934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409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sz w:val="16"/>
        </w:rPr>
        <w:t xml:space="preserve">Figure 1 - End-to-end architecture: data and model development, CI/CD on GitHub Actions, and containerised serving with monitoring.</w:t>
      </w:r>
    </w:p>
    <w:p>
      <w:pPr>
        <w:jc w:val="both"/>
      </w:pPr>
      <w:r>
        <w:rPr/>
        <w:t xml:space="preserve">Code flows from the developer to GitHub, where Actions lint, test, train and smoke-test a container on every push. The same Dockerfile produces the image that Kubernetes runs; Prometheus scrapes its </w:t>
      </w:r>
      <w:r>
        <w:rPr>
          <w:rFonts w:ascii="Menlo" w:hAnsi="Menlo" w:cs="Menlo"/>
          <w:sz w:val="17"/>
        </w:rPr>
        <w:t xml:space="preserve">/metrics</w:t>
      </w:r>
      <w:r>
        <w:rPr/>
        <w:t xml:space="preserve"> endpoint and Grafana visualises them.</w:t>
      </w:r>
    </w:p>
    <w:p>
      <w:pPr>
        <w:pStyle w:val="Heading1"/>
      </w:pPr>
      <w:r>
        <w:rPr/>
        <w:t xml:space="preserve">3. Setup and installation</w:t>
      </w:r>
    </w:p>
    <w:p>
      <w:pPr>
        <w:jc w:val="both"/>
      </w:pPr>
      <w:r>
        <w:rPr/>
        <w:t xml:space="preserve">Requirements: Python 3.10; Docker Desktop (with Kubernetes enabled) for the container, cluster and monitoring steps. Everything below runs from a clean clone using only </w:t>
      </w:r>
      <w:r>
        <w:rPr>
          <w:rFonts w:ascii="Menlo" w:hAnsi="Menlo" w:cs="Menlo"/>
          <w:sz w:val="17"/>
        </w:rPr>
        <w:t xml:space="preserve">requirements.txt</w:t>
      </w:r>
      <w:r>
        <w:rPr/>
        <w:t xml:space="preserve">.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git clone https://github.com/pnand5/heart-disease-mlops.git &amp;&amp; cd heart-disease-mlops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python3 -m venv .venv &amp;&amp; source .venv/bin/activate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pip install -r requirements.txt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 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python scripts/download_data.py   # UCI file -&gt; data/raw/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python -m src.data                # clean -&gt; data/processed/heart_clean.csv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python -m src.train               # tune, evaluate, track (MLflow), save models/model.joblib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pytest -v &amp;&amp; ruff check .         # 20 tests + lint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make mlflow-ui                    # tracking UI on http://localhost:5001</w:t>
      </w:r>
    </w:p>
    <w:p>
      <w:pPr>
        <w:spacing w:before="0" w:after="60"/>
      </w:pPr>
    </w:p>
    <w:p>
      <w:pPr>
        <w:jc w:val="both"/>
      </w:pPr>
      <w:r>
        <w:rPr/>
        <w:t xml:space="preserve">The Makefile wraps these (</w:t>
      </w:r>
      <w:r>
        <w:rPr>
          <w:rFonts w:ascii="Menlo" w:hAnsi="Menlo" w:cs="Menlo"/>
          <w:sz w:val="17"/>
        </w:rPr>
        <w:t xml:space="preserve">make setup data train test lint</w:t>
      </w:r>
      <w:r>
        <w:rPr/>
        <w:t xml:space="preserve">). Serving, Kubernetes and monitoring commands are in sections 8-10 and in the repository README.</w:t>
      </w:r>
    </w:p>
    <w:p>
      <w:pPr>
        <w:pStyle w:val="Heading1"/>
      </w:pPr>
      <w:r>
        <w:rPr/>
        <w:t xml:space="preserve">4. Data acquisition and exploratory analysis</w:t>
      </w:r>
    </w:p>
    <w:p>
      <w:pPr>
        <w:jc w:val="both"/>
      </w:pPr>
      <w:r>
        <w:rPr>
          <w:rFonts w:ascii="Menlo" w:hAnsi="Menlo" w:cs="Menlo"/>
          <w:sz w:val="17"/>
        </w:rPr>
        <w:t xml:space="preserve">scripts/download_data.py</w:t>
      </w:r>
      <w:r>
        <w:rPr/>
        <w:t xml:space="preserve"> fetches </w:t>
      </w:r>
      <w:r>
        <w:rPr>
          <w:rFonts w:ascii="Menlo" w:hAnsi="Menlo" w:cs="Menlo"/>
          <w:sz w:val="17"/>
        </w:rPr>
        <w:t xml:space="preserve">processed.cleveland.data</w:t>
      </w:r>
      <w:r>
        <w:rPr/>
        <w:t xml:space="preserve"> from the UCI repository. The file has no header and marks missing values with </w:t>
      </w:r>
      <w:r>
        <w:rPr>
          <w:rFonts w:ascii="Menlo" w:hAnsi="Menlo" w:cs="Menlo"/>
          <w:sz w:val="17"/>
        </w:rPr>
        <w:t xml:space="preserve">?</w:t>
      </w:r>
      <w:r>
        <w:rPr/>
        <w:t xml:space="preserve">; </w:t>
      </w:r>
      <w:r>
        <w:rPr>
          <w:rFonts w:ascii="Menlo" w:hAnsi="Menlo" w:cs="Menlo"/>
          <w:sz w:val="17"/>
        </w:rPr>
        <w:t xml:space="preserve">src/data.py</w:t>
      </w:r>
      <w:r>
        <w:rPr/>
        <w:t xml:space="preserve"> names the 14 columns, parses </w:t>
      </w:r>
      <w:r>
        <w:rPr>
          <w:rFonts w:ascii="Menlo" w:hAnsi="Menlo" w:cs="Menlo"/>
          <w:sz w:val="17"/>
        </w:rPr>
        <w:t xml:space="preserve">?</w:t>
      </w:r>
      <w:r>
        <w:rPr/>
        <w:t xml:space="preserve"> as missing, and binarises the label (</w:t>
      </w:r>
      <w:r>
        <w:rPr>
          <w:rFonts w:ascii="Menlo" w:hAnsi="Menlo" w:cs="Menlo"/>
          <w:sz w:val="17"/>
        </w:rPr>
        <w:t xml:space="preserve">num</w:t>
      </w:r>
      <w:r>
        <w:rPr/>
        <w:t xml:space="preserve"> 0 -&gt; </w:t>
      </w:r>
      <w:r>
        <w:rPr>
          <w:i/>
        </w:rPr>
        <w:t xml:space="preserve">no disease</w:t>
      </w:r>
      <w:r>
        <w:rPr/>
        <w:t xml:space="preserve">, 1-4 -&gt; </w:t>
      </w:r>
      <w:r>
        <w:rPr>
          <w:i/>
        </w:rPr>
        <w:t xml:space="preserve">disease</w:t>
      </w:r>
      <w:r>
        <w:rPr/>
        <w:t xml:space="preserve">). Only six values are missing (</w:t>
      </w:r>
      <w:r>
        <w:rPr>
          <w:rFonts w:ascii="Menlo" w:hAnsi="Menlo" w:cs="Menlo"/>
          <w:sz w:val="17"/>
        </w:rPr>
        <w:t xml:space="preserve">ca</w:t>
      </w:r>
      <w:r>
        <w:rPr/>
        <w:t xml:space="preserve">: 4, </w:t>
      </w:r>
      <w:r>
        <w:rPr>
          <w:rFonts w:ascii="Menlo" w:hAnsi="Menlo" w:cs="Menlo"/>
          <w:sz w:val="17"/>
        </w:rPr>
        <w:t xml:space="preserve">thal</w:t>
      </w:r>
      <w:r>
        <w:rPr/>
        <w:t xml:space="preserve">: 2); both columns are categorical, so they are filled with the column mode. The cleaned file has 303 rows and no missing values and is committed to the repository.</w:t>
      </w:r>
    </w:p>
    <w:tbl>
      <w:tblPr>
        <w:tblW w:w="9906" w:type="dxa"/>
        <w:tblCellMar>
          <w:left w:w="70" w:type="dxa"/>
          <w:right w:w="70" w:type="dxa"/>
        </w:tblCellMar>
      </w:tblPr>
      <w:tblGrid>
        <w:gridCol w:w="3764"/>
        <w:gridCol w:w="6141"/>
      </w:tblGrid>
      <w:tr>
        <w:tc>
          <w:tcPr>
            <w:tcW w:w="3764" w:type="dxa"/>
          </w:tcPr>
          <w:p>
            <w:pPr>
              <w:jc w:val="center"/>
            </w:pPr>
            <w:r>
              <w:drawing>
                <wp:inline distT="0" distB="0" distL="0" distR="0">
                  <wp:extent cx="2246898" cy="1797518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6898" cy="179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2 - Class balance: 164 no disease (54%), 139 disease (46%).</w:t>
            </w:r>
          </w:p>
        </w:tc>
        <w:tc>
          <w:tcPr>
            <w:tcW w:w="6141" w:type="dxa"/>
          </w:tcPr>
          <w:p>
            <w:pPr>
              <w:jc w:val="center"/>
            </w:pPr>
            <w:r>
              <w:drawing>
                <wp:inline distT="0" distB="0" distL="0" distR="0">
                  <wp:extent cx="3665992" cy="2932793"/>
                  <wp:docPr id="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5992" cy="2932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3 - Correlation heatmap including the target.</w:t>
            </w:r>
          </w:p>
        </w:tc>
      </w:tr>
    </w:tbl>
    <w:p>
      <w:pPr>
        <w:spacing w:before="0" w:after="40"/>
      </w:pP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Balanced target</w:t>
      </w:r>
      <w:r>
        <w:rPr/>
        <w:t xml:space="preserve"> (54% / 46%), so accuracy is meaningful and no resampling is needed; recall and ROC-AUC are still reported because missing a sick patient is the costly error.</w:t>
      </w: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Strongest linear signals</w:t>
      </w:r>
      <w:r>
        <w:rPr/>
        <w:t xml:space="preserve"> with the target: </w:t>
      </w:r>
      <w:r>
        <w:rPr>
          <w:rFonts w:ascii="Menlo" w:hAnsi="Menlo" w:cs="Menlo"/>
          <w:sz w:val="17"/>
        </w:rPr>
        <w:t xml:space="preserve">thal</w:t>
      </w:r>
      <w:r>
        <w:rPr/>
        <w:t xml:space="preserve"> (0.52), </w:t>
      </w:r>
      <w:r>
        <w:rPr>
          <w:rFonts w:ascii="Menlo" w:hAnsi="Menlo" w:cs="Menlo"/>
          <w:sz w:val="17"/>
        </w:rPr>
        <w:t xml:space="preserve">ca</w:t>
      </w:r>
      <w:r>
        <w:rPr/>
        <w:t xml:space="preserve"> (0.46), </w:t>
      </w:r>
      <w:r>
        <w:rPr>
          <w:rFonts w:ascii="Menlo" w:hAnsi="Menlo" w:cs="Menlo"/>
          <w:sz w:val="17"/>
        </w:rPr>
        <w:t xml:space="preserve">exang</w:t>
      </w:r>
      <w:r>
        <w:rPr/>
        <w:t xml:space="preserve"> (0.43), </w:t>
      </w:r>
      <w:r>
        <w:rPr>
          <w:rFonts w:ascii="Menlo" w:hAnsi="Menlo" w:cs="Menlo"/>
          <w:sz w:val="17"/>
        </w:rPr>
        <w:t xml:space="preserve">oldpeak</w:t>
      </w:r>
      <w:r>
        <w:rPr/>
        <w:t xml:space="preserve"> (0.42), </w:t>
      </w:r>
      <w:r>
        <w:rPr>
          <w:rFonts w:ascii="Menlo" w:hAnsi="Menlo" w:cs="Menlo"/>
          <w:sz w:val="17"/>
        </w:rPr>
        <w:t xml:space="preserve">thalach</w:t>
      </w:r>
      <w:r>
        <w:rPr/>
        <w:t xml:space="preserve"> (-0.42: a higher maximum heart rate means lower risk) and </w:t>
      </w:r>
      <w:r>
        <w:rPr>
          <w:rFonts w:ascii="Menlo" w:hAnsi="Menlo" w:cs="Menlo"/>
          <w:sz w:val="17"/>
        </w:rPr>
        <w:t xml:space="preserve">cp</w:t>
      </w:r>
      <w:r>
        <w:rPr/>
        <w:t xml:space="preserve"> (0.41). </w:t>
      </w:r>
      <w:r>
        <w:rPr>
          <w:rFonts w:ascii="Menlo" w:hAnsi="Menlo" w:cs="Menlo"/>
          <w:sz w:val="17"/>
        </w:rPr>
        <w:t xml:space="preserve">fbs</w:t>
      </w:r>
      <w:r>
        <w:rPr/>
        <w:t xml:space="preserve"> (0.03) and </w:t>
      </w:r>
      <w:r>
        <w:rPr>
          <w:rFonts w:ascii="Menlo" w:hAnsi="Menlo" w:cs="Menlo"/>
          <w:sz w:val="17"/>
        </w:rPr>
        <w:t xml:space="preserve">chol</w:t>
      </w:r>
      <w:r>
        <w:rPr/>
        <w:t xml:space="preserve"> (0.09) are nearly uninformative on their own.</w:t>
      </w:r>
    </w:p>
    <w:p>
      <w:pPr>
        <w:ind w:left="360" w:hanging="260"/>
        <w:jc w:val="both"/>
      </w:pPr>
      <w:r>
        <w:rPr/>
        <w:t xml:space="preserve">•	</w:t>
      </w:r>
      <w:r>
        <w:rPr>
          <w:rFonts w:ascii="Menlo" w:hAnsi="Menlo" w:cs="Menlo"/>
          <w:sz w:val="17"/>
        </w:rPr>
        <w:t xml:space="preserve">oldpeak</w:t>
      </w:r>
      <w:r>
        <w:rPr/>
        <w:t xml:space="preserve"> and </w:t>
      </w:r>
      <w:r>
        <w:rPr>
          <w:rFonts w:ascii="Menlo" w:hAnsi="Menlo" w:cs="Menlo"/>
          <w:sz w:val="17"/>
        </w:rPr>
        <w:t xml:space="preserve">slope</w:t>
      </w:r>
      <w:r>
        <w:rPr/>
        <w:t xml:space="preserve"> are correlated (0.58): a mild collinearity that matters for linear-model coefficients, not for tree models.</w:t>
      </w:r>
    </w:p>
    <w:p>
      <w:pPr>
        <w:ind w:left="360" w:hanging="260"/>
        <w:jc w:val="both"/>
      </w:pPr>
      <w:r>
        <w:rPr/>
        <w:t xml:space="preserve">•	</w:t>
      </w:r>
      <w:r>
        <w:rPr/>
        <w:t xml:space="preserve">Numeric features sit on different scales, so scaling is required for Logistic Regression. Codes such as </w:t>
      </w:r>
      <w:r>
        <w:rPr>
          <w:rFonts w:ascii="Menlo" w:hAnsi="Menlo" w:cs="Menlo"/>
          <w:sz w:val="17"/>
        </w:rPr>
        <w:t xml:space="preserve">cp</w:t>
      </w:r>
      <w:r>
        <w:rPr/>
        <w:t xml:space="preserve">, </w:t>
      </w:r>
      <w:r>
        <w:rPr>
          <w:rFonts w:ascii="Menlo" w:hAnsi="Menlo" w:cs="Menlo"/>
          <w:sz w:val="17"/>
        </w:rPr>
        <w:t xml:space="preserve">thal</w:t>
      </w:r>
      <w:r>
        <w:rPr/>
        <w:t xml:space="preserve"> and </w:t>
      </w:r>
      <w:r>
        <w:rPr>
          <w:rFonts w:ascii="Menlo" w:hAnsi="Menlo" w:cs="Menlo"/>
          <w:sz w:val="17"/>
        </w:rPr>
        <w:t xml:space="preserve">slope</w:t>
      </w:r>
      <w:r>
        <w:rPr/>
        <w:t xml:space="preserve"> are nominal labels, not quantities, so they are one-hot encoded.</w:t>
      </w:r>
    </w:p>
    <w:p>
      <w:pPr>
        <w:jc w:val="center"/>
      </w:pPr>
      <w:r>
        <w:drawing>
          <wp:inline distT="0" distB="0" distL="0" distR="0">
            <wp:extent cx="4906441" cy="245322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4906441" cy="245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sz w:val="16"/>
        </w:rPr>
        <w:t xml:space="preserve">Figure 4 - Distributions of the numeric features, split by target (full notebook: notebooks/01_eda.ipynb).</w:t>
      </w:r>
    </w:p>
    <w:p>
      <w:pPr>
        <w:pStyle w:val="Heading1"/>
      </w:pPr>
      <w:r>
        <w:rPr/>
        <w:t xml:space="preserve">5. Feature engineering and model development</w:t>
      </w:r>
    </w:p>
    <w:p>
      <w:pPr>
        <w:jc w:val="both"/>
      </w:pPr>
      <w:r>
        <w:rPr/>
        <w:t xml:space="preserve">Preprocessing lives in one </w:t>
      </w:r>
      <w:r>
        <w:rPr>
          <w:rFonts w:ascii="Menlo" w:hAnsi="Menlo" w:cs="Menlo"/>
          <w:sz w:val="17"/>
        </w:rPr>
        <w:t xml:space="preserve">ColumnTransformer</w:t>
      </w:r>
      <w:r>
        <w:rPr/>
        <w:t xml:space="preserve"> (</w:t>
      </w:r>
      <w:r>
        <w:rPr>
          <w:rFonts w:ascii="Menlo" w:hAnsi="Menlo" w:cs="Menlo"/>
          <w:sz w:val="17"/>
        </w:rPr>
        <w:t xml:space="preserve">src/features.py</w:t>
      </w:r>
      <w:r>
        <w:rPr/>
        <w:t xml:space="preserve">) that is part of the model pipeline, so during cross-validation it is re-fitted on each training fold and never sees validation data. Numeric columns: median imputation then standardisation. Categorical columns: most-frequent imputation then one-hot encoding with </w:t>
      </w:r>
      <w:r>
        <w:rPr>
          <w:rFonts w:ascii="Menlo" w:hAnsi="Menlo" w:cs="Menlo"/>
          <w:sz w:val="17"/>
        </w:rPr>
        <w:t xml:space="preserve">handle_unknown="ignore"</w:t>
      </w:r>
      <w:r>
        <w:rPr/>
        <w:t xml:space="preserve">. The imputers are redundant on the cleaned CSV but make the served model robust to a missing or unseen value.</w:t>
      </w:r>
    </w:p>
    <w:p>
      <w:pPr>
        <w:jc w:val="both"/>
      </w:pPr>
      <w:r>
        <w:rPr>
          <w:b/>
        </w:rPr>
        <w:t xml:space="preserve">Protocol.</w:t>
      </w:r>
      <w:r>
        <w:rPr/>
        <w:t xml:space="preserve"> A stratified 80/20 split (242 training, 61 test patients, seed 42). Each candidate is tuned with </w:t>
      </w:r>
      <w:r>
        <w:rPr>
          <w:rFonts w:ascii="Menlo" w:hAnsi="Menlo" w:cs="Menlo"/>
          <w:sz w:val="17"/>
        </w:rPr>
        <w:t xml:space="preserve">GridSearchCV</w:t>
      </w:r>
      <w:r>
        <w:rPr/>
        <w:t xml:space="preserve"> (stratified 5-fold, scoring ROC-AUC) on the training split only; the tuned configuration is then re-scored with 5-fold cross-validation on accuracy, precision, recall, F1 and ROC-AUC. The model is </w:t>
      </w:r>
      <w:r>
        <w:rPr>
          <w:b/>
        </w:rPr>
        <w:t xml:space="preserve">selected on cross-validated ROC-AUC</w:t>
      </w:r>
      <w:r>
        <w:rPr/>
        <w:t xml:space="preserve">, and the test split is used once, for reporting.</w:t>
      </w:r>
    </w:p>
    <w:tbl>
      <w:tblPr>
        <w:tblW w:w="9906" w:type="dxa"/>
        <w:tblBorders>
          <w:top w:val="single" w:sz="4" w:color="B2BABB"/>
          <w:left w:val="single" w:sz="4" w:color="B2BABB"/>
          <w:bottom w:val="single" w:sz="4" w:color="B2BABB"/>
          <w:right w:val="single" w:sz="4" w:color="B2BABB"/>
          <w:insideH w:val="single" w:sz="4" w:color="B2BABB"/>
          <w:insideV w:val="single" w:sz="4" w:color="B2BABB"/>
        </w:tblBorders>
        <w:tblCellMar>
          <w:left w:w="70" w:type="dxa"/>
          <w:right w:w="70" w:type="dxa"/>
        </w:tblCellMar>
      </w:tblPr>
      <w:tblGrid>
        <w:gridCol w:w="1981"/>
        <w:gridCol w:w="4754"/>
        <w:gridCol w:w="3169"/>
      </w:tblGrid>
      <w:tr>
        <w:tc>
          <w:tcPr>
            <w:tcW w:w="1981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tcW w:w="4754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Grid searched</w:t>
            </w:r>
          </w:p>
        </w:tc>
        <w:tc>
          <w:tcPr>
            <w:tcW w:w="3169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Best parameters</w:t>
            </w:r>
          </w:p>
        </w:tc>
      </w:tr>
      <w:tr>
        <w:tc>
          <w:tcPr>
            <w:tcW w:w="198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>
            <w:tcW w:w="475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C in {0.01, 0.1, 1, 10}</w:t>
            </w:r>
          </w:p>
        </w:tc>
        <w:tc>
          <w:tcPr>
            <w:tcW w:w="316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C = 1</w:t>
            </w:r>
          </w:p>
        </w:tc>
      </w:tr>
      <w:tr>
        <w:tc>
          <w:tcPr>
            <w:tcW w:w="198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Random Forest</w:t>
            </w:r>
          </w:p>
        </w:tc>
        <w:tc>
          <w:tcPr>
            <w:tcW w:w="475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n_estimators {100, 300} x max_depth {None, 4, 8} x min_samples_leaf {1, 3}</w:t>
            </w:r>
          </w:p>
        </w:tc>
        <w:tc>
          <w:tcPr>
            <w:tcW w:w="316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100 trees, max_depth 4, min_samples_leaf 1</w:t>
            </w:r>
          </w:p>
        </w:tc>
      </w:tr>
      <w:tr>
        <w:tc>
          <w:tcPr>
            <w:tcW w:w="198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>
            <w:tcW w:w="4754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n_estimators {100, 200} x learning_rate {0.05, 0.1} x max_depth {2, 3}</w:t>
            </w:r>
          </w:p>
        </w:tc>
        <w:tc>
          <w:tcPr>
            <w:tcW w:w="316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100 trees, learning_rate 0.05, max_depth 3</w:t>
            </w:r>
          </w:p>
        </w:tc>
      </w:tr>
    </w:tbl>
    <w:p>
      <w:pPr>
        <w:spacing w:before="0" w:after="40"/>
      </w:pPr>
    </w:p>
    <w:tbl>
      <w:tblPr>
        <w:tblW w:w="9906" w:type="dxa"/>
        <w:tblBorders>
          <w:top w:val="single" w:sz="4" w:color="B2BABB"/>
          <w:left w:val="single" w:sz="4" w:color="B2BABB"/>
          <w:bottom w:val="single" w:sz="4" w:color="B2BABB"/>
          <w:right w:val="single" w:sz="4" w:color="B2BABB"/>
          <w:insideH w:val="single" w:sz="4" w:color="B2BABB"/>
          <w:insideV w:val="single" w:sz="4" w:color="B2BABB"/>
        </w:tblBorders>
        <w:tblCellMar>
          <w:left w:w="70" w:type="dxa"/>
          <w:right w:w="70" w:type="dxa"/>
        </w:tblCellMar>
      </w:tblPr>
      <w:tblGrid>
        <w:gridCol w:w="1981"/>
        <w:gridCol w:w="990"/>
        <w:gridCol w:w="990"/>
        <w:gridCol w:w="990"/>
        <w:gridCol w:w="891"/>
        <w:gridCol w:w="1089"/>
        <w:gridCol w:w="990"/>
        <w:gridCol w:w="990"/>
        <w:gridCol w:w="990"/>
      </w:tblGrid>
      <w:tr>
        <w:tc>
          <w:tcPr>
            <w:tcW w:w="1981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tcW w:w="990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CV accuracy</w:t>
            </w:r>
          </w:p>
        </w:tc>
        <w:tc>
          <w:tcPr>
            <w:tcW w:w="990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CV precision</w:t>
            </w:r>
          </w:p>
        </w:tc>
        <w:tc>
          <w:tcPr>
            <w:tcW w:w="990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CV recall</w:t>
            </w:r>
          </w:p>
        </w:tc>
        <w:tc>
          <w:tcPr>
            <w:tcW w:w="891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CV F1</w:t>
            </w:r>
          </w:p>
        </w:tc>
        <w:tc>
          <w:tcPr>
            <w:tcW w:w="1089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CV ROC-AUC</w:t>
            </w:r>
          </w:p>
        </w:tc>
        <w:tc>
          <w:tcPr>
            <w:tcW w:w="990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Test acc.</w:t>
            </w:r>
          </w:p>
        </w:tc>
        <w:tc>
          <w:tcPr>
            <w:tcW w:w="990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Test recall</w:t>
            </w:r>
          </w:p>
        </w:tc>
        <w:tc>
          <w:tcPr>
            <w:tcW w:w="990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Test AUC</w:t>
            </w:r>
          </w:p>
        </w:tc>
      </w:tr>
      <w:tr>
        <w:tc>
          <w:tcPr>
            <w:tcW w:w="198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0.847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0.877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0.783</w:t>
            </w:r>
          </w:p>
        </w:tc>
        <w:tc>
          <w:tcPr>
            <w:tcW w:w="89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0.825</w:t>
            </w:r>
          </w:p>
        </w:tc>
        <w:tc>
          <w:tcPr>
            <w:tcW w:w="108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0.902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0.885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0.929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0.966</w:t>
            </w:r>
          </w:p>
        </w:tc>
      </w:tr>
      <w:tr>
        <w:tc>
          <w:tcPr>
            <w:tcW w:w="198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Random Forest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0.826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0.844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0.774</w:t>
            </w:r>
          </w:p>
        </w:tc>
        <w:tc>
          <w:tcPr>
            <w:tcW w:w="89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0.802</w:t>
            </w:r>
          </w:p>
        </w:tc>
        <w:tc>
          <w:tcPr>
            <w:tcW w:w="108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0.901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0.836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0.821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0.944</w:t>
            </w:r>
          </w:p>
        </w:tc>
      </w:tr>
      <w:tr>
        <w:tc>
          <w:tcPr>
            <w:tcW w:w="198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0.793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0.771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0.783</w:t>
            </w:r>
          </w:p>
        </w:tc>
        <w:tc>
          <w:tcPr>
            <w:tcW w:w="891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0.775</w:t>
            </w:r>
          </w:p>
        </w:tc>
        <w:tc>
          <w:tcPr>
            <w:tcW w:w="1089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0.875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0.885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0.929</w:t>
            </w:r>
          </w:p>
        </w:tc>
        <w:tc>
          <w:tcPr>
            <w:tcW w:w="990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0.951</w:t>
            </w:r>
          </w:p>
        </w:tc>
      </w:tr>
    </w:tbl>
    <w:p>
      <w:pPr>
        <w:spacing w:before="0" w:after="40"/>
      </w:pPr>
    </w:p>
    <w:tbl>
      <w:tblPr>
        <w:tblW w:w="9906" w:type="dxa"/>
        <w:tblCellMar>
          <w:left w:w="70" w:type="dxa"/>
          <w:right w:w="70" w:type="dxa"/>
        </w:tblCellMar>
      </w:tblPr>
      <w:tblGrid>
        <w:gridCol w:w="4953"/>
        <w:gridCol w:w="4953"/>
      </w:tblGrid>
      <w:tr>
        <w:tc>
          <w:tcPr>
            <w:tcW w:w="4953" w:type="dxa"/>
          </w:tcPr>
          <w:p>
            <w:pPr>
              <w:jc w:val="center"/>
            </w:pPr>
            <w:r>
              <w:drawing>
                <wp:inline distT="0" distB="0" distL="0" distR="0">
                  <wp:extent cx="2956445" cy="1689397"/>
                  <wp:docPr id="5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445" cy="1689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5 - Cross-validated ROC-AUC (mean +/- std).</w:t>
            </w:r>
          </w:p>
        </w:tc>
        <w:tc>
          <w:tcPr>
            <w:tcW w:w="4953" w:type="dxa"/>
          </w:tcPr>
          <w:p>
            <w:pPr>
              <w:jc w:val="center"/>
            </w:pPr>
            <w:r>
              <w:drawing>
                <wp:inline distT="0" distB="0" distL="0" distR="0">
                  <wp:extent cx="2956445" cy="2463704"/>
                  <wp:docPr id="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445" cy="2463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6 - ROC curves on the held-out test split.</w:t>
            </w:r>
          </w:p>
        </w:tc>
      </w:tr>
    </w:tbl>
    <w:p>
      <w:pPr>
        <w:spacing w:before="0" w:after="40"/>
      </w:pPr>
    </w:p>
    <w:p>
      <w:pPr>
        <w:jc w:val="both"/>
      </w:pPr>
      <w:r>
        <w:rPr>
          <w:b/>
        </w:rPr>
        <w:t xml:space="preserve">Why Logistic Regression.</w:t>
      </w:r>
      <w:r>
        <w:rPr/>
        <w:t xml:space="preserve"> It is marginally ahead on cross-validated AUC (0.902 vs 0.901), has the lowest fold-to-fold variance (0.014 vs 0.023), is the simplest and its coefficients can be inspected. The gap to Random Forest is far inside the noise, so I do not claim it is better. The held-out numbers are higher than the cross-validated ones for every model; with 61 patients one error moves accuracy by about 1.6 points, so the cross-validated figures (242 patients, five folds) are the more trustworthy estimate.</w:t>
      </w:r>
    </w:p>
    <w:tbl>
      <w:tblPr>
        <w:tblW w:w="9906" w:type="dxa"/>
        <w:tblCellMar>
          <w:left w:w="70" w:type="dxa"/>
          <w:right w:w="70" w:type="dxa"/>
        </w:tblCellMar>
      </w:tblPr>
      <w:tblGrid>
        <w:gridCol w:w="3764"/>
        <w:gridCol w:w="6141"/>
      </w:tblGrid>
      <w:tr>
        <w:tc>
          <w:tcPr>
            <w:tcW w:w="3764" w:type="dxa"/>
          </w:tcPr>
          <w:p>
            <w:pPr>
              <w:jc w:val="center"/>
            </w:pPr>
            <w:r>
              <w:drawing>
                <wp:inline distT="0" distB="0" distL="0" distR="0">
                  <wp:extent cx="2246898" cy="1997242"/>
                  <wp:docPr id="7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6898" cy="1997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7 - Confusion matrix on the test split (selected model).</w:t>
            </w:r>
          </w:p>
        </w:tc>
        <w:tc>
          <w:tcPr>
            <w:tcW w:w="6141" w:type="dxa"/>
          </w:tcPr>
          <w:p>
            <w:pPr>
              <w:jc w:val="center"/>
            </w:pPr>
            <w:r>
              <w:drawing>
                <wp:inline distT="0" distB="0" distL="0" distR="0">
                  <wp:extent cx="3665992" cy="2618565"/>
                  <wp:docPr id="8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5992" cy="2618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8 - Largest Logistic Regression coefficients.</w:t>
            </w:r>
          </w:p>
        </w:tc>
      </w:tr>
    </w:tbl>
    <w:p>
      <w:pPr>
        <w:spacing w:before="0" w:after="40"/>
      </w:pPr>
    </w:p>
    <w:p>
      <w:pPr>
        <w:jc w:val="both"/>
      </w:pPr>
      <w:r>
        <w:rPr/>
        <w:t xml:space="preserve">The largest coefficients agree with the EDA: no coloured vessels (</w:t>
      </w:r>
      <w:r>
        <w:rPr>
          <w:rFonts w:ascii="Menlo" w:hAnsi="Menlo" w:cs="Menlo"/>
          <w:sz w:val="17"/>
        </w:rPr>
        <w:t xml:space="preserve">ca_0</w:t>
      </w:r>
      <w:r>
        <w:rPr/>
        <w:t xml:space="preserve">) is the strongest protective signal, while asymptomatic chest pain (</w:t>
      </w:r>
      <w:r>
        <w:rPr>
          <w:rFonts w:ascii="Menlo" w:hAnsi="Menlo" w:cs="Menlo"/>
          <w:sz w:val="17"/>
        </w:rPr>
        <w:t xml:space="preserve">cp_4</w:t>
      </w:r>
      <w:r>
        <w:rPr/>
        <w:t xml:space="preserve">) and a reversible thalassemia defect (</w:t>
      </w:r>
      <w:r>
        <w:rPr>
          <w:rFonts w:ascii="Menlo" w:hAnsi="Menlo" w:cs="Menlo"/>
          <w:sz w:val="17"/>
        </w:rPr>
        <w:t xml:space="preserve">thal_7</w:t>
      </w:r>
      <w:r>
        <w:rPr/>
        <w:t xml:space="preserve">) raise risk the most. Typical angina (</w:t>
      </w:r>
      <w:r>
        <w:rPr>
          <w:rFonts w:ascii="Menlo" w:hAnsi="Menlo" w:cs="Menlo"/>
          <w:sz w:val="17"/>
        </w:rPr>
        <w:t xml:space="preserve">cp_1</w:t>
      </w:r>
      <w:r>
        <w:rPr/>
        <w:t xml:space="preserve">) is counter-intuitively associated with </w:t>
      </w:r>
      <w:r>
        <w:rPr>
          <w:i/>
        </w:rPr>
        <w:t xml:space="preserve">lower</w:t>
      </w:r>
      <w:r>
        <w:rPr/>
        <w:t xml:space="preserve"> predicted risk in this dataset - a pattern in the data, not clinical advice.</w:t>
      </w:r>
    </w:p>
    <w:p>
      <w:pPr>
        <w:pStyle w:val="Heading1"/>
      </w:pPr>
      <w:r>
        <w:rPr/>
        <w:t xml:space="preserve">6. Experiment tracking with MLflow</w:t>
      </w:r>
    </w:p>
    <w:p>
      <w:pPr>
        <w:jc w:val="both"/>
      </w:pPr>
      <w:r>
        <w:rPr>
          <w:rFonts w:ascii="Menlo" w:hAnsi="Menlo" w:cs="Menlo"/>
          <w:sz w:val="17"/>
        </w:rPr>
        <w:t xml:space="preserve">src/train.py</w:t>
      </w:r>
      <w:r>
        <w:rPr/>
        <w:t xml:space="preserve"> wraps every candidate in an MLflow run (SQLite backend) inside the experiment </w:t>
      </w:r>
      <w:r>
        <w:rPr>
          <w:rFonts w:ascii="Menlo" w:hAnsi="Menlo" w:cs="Menlo"/>
          <w:sz w:val="17"/>
        </w:rPr>
        <w:t xml:space="preserve">heart-disease-classification</w:t>
      </w:r>
      <w:r>
        <w:rPr/>
        <w:t xml:space="preserve">. Each run logs: the tuned hyper-parameters and the searched grid, 5-fold CV metrics (mean and standard deviation for five metrics), held-out test metrics, the confusion-matrix and ROC plots as artifacts, and the fitted pipeline as an MLflow model with an inferred signature and an input example. The selected run carries the tag </w:t>
      </w:r>
      <w:r>
        <w:rPr>
          <w:rFonts w:ascii="Menlo" w:hAnsi="Menlo" w:cs="Menlo"/>
          <w:sz w:val="17"/>
        </w:rPr>
        <w:t xml:space="preserve">selected=true</w:t>
      </w:r>
      <w:r>
        <w:rPr/>
        <w:t xml:space="preserve">. Because training is deterministic, </w:t>
      </w:r>
      <w:r>
        <w:rPr>
          <w:rFonts w:ascii="Menlo" w:hAnsi="Menlo" w:cs="Menlo"/>
          <w:sz w:val="17"/>
        </w:rPr>
        <w:t xml:space="preserve">notebooks/02_training.ipynb</w:t>
      </w:r>
      <w:r>
        <w:rPr/>
        <w:t xml:space="preserve"> refits each model from its logged parameters and reproduces the logged test AUC exactly (0.9665, 0.9437, 0.9513).</w:t>
      </w:r>
    </w:p>
    <w:p>
      <w:pPr>
        <w:jc w:val="center"/>
      </w:pPr>
      <w:r>
        <w:drawing>
          <wp:inline distT="0" distB="0" distL="0" distR="0">
            <wp:extent cx="4529023" cy="2103366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4529023" cy="210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sz w:val="16"/>
        </w:rPr>
        <w:t xml:space="preserve">Figure 9 - MLflow experiment: one run per model, each with a logged model artifact.</w:t>
      </w:r>
    </w:p>
    <w:tbl>
      <w:tblPr>
        <w:tblW w:w="9906" w:type="dxa"/>
        <w:tblCellMar>
          <w:left w:w="70" w:type="dxa"/>
          <w:right w:w="70" w:type="dxa"/>
        </w:tblCellMar>
      </w:tblPr>
      <w:tblGrid>
        <w:gridCol w:w="4556"/>
        <w:gridCol w:w="5349"/>
      </w:tblGrid>
      <w:tr>
        <w:tc>
          <w:tcPr>
            <w:tcW w:w="4556" w:type="dxa"/>
          </w:tcPr>
          <w:p>
            <w:pPr>
              <w:jc w:val="center"/>
            </w:pPr>
            <w:r>
              <w:drawing>
                <wp:inline distT="0" distB="0" distL="0" distR="0">
                  <wp:extent cx="2719930" cy="3718385"/>
                  <wp:docPr id="10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930" cy="3718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10 - Run comparison: parameters, metrics and the selected tag.</w:t>
            </w:r>
          </w:p>
        </w:tc>
        <w:tc>
          <w:tcPr>
            <w:tcW w:w="5349" w:type="dxa"/>
          </w:tcPr>
          <w:p>
            <w:pPr>
              <w:jc w:val="center"/>
            </w:pPr>
            <w:r>
              <w:drawing>
                <wp:inline distT="0" distB="0" distL="0" distR="0">
                  <wp:extent cx="3192961" cy="2694481"/>
                  <wp:docPr id="11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61" cy="2694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11 - A logged plot artifact (ROC curve).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rPr/>
        <w:t xml:space="preserve">7. Model packaging and reproducibility</w:t>
      </w: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One artifact for train and serve.</w:t>
      </w:r>
      <w:r>
        <w:rPr/>
        <w:t xml:space="preserve"> </w:t>
      </w:r>
      <w:r>
        <w:rPr>
          <w:rFonts w:ascii="Menlo" w:hAnsi="Menlo" w:cs="Menlo"/>
          <w:sz w:val="17"/>
        </w:rPr>
        <w:t xml:space="preserve">models/model.joblib</w:t>
      </w:r>
      <w:r>
        <w:rPr/>
        <w:t xml:space="preserve"> is the </w:t>
      </w:r>
      <w:r>
        <w:rPr>
          <w:i/>
        </w:rPr>
        <w:t xml:space="preserve">whole</w:t>
      </w:r>
      <w:r>
        <w:rPr/>
        <w:t xml:space="preserve"> pipeline (imputation, scaling, one-hot encoding, classifier). Inference takes raw patient fields; there is no separate preprocessing code that could drift from training. The same pipeline is also stored as an MLflow model.</w:t>
      </w: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Pinned environment.</w:t>
      </w:r>
      <w:r>
        <w:rPr/>
        <w:t xml:space="preserve"> </w:t>
      </w:r>
      <w:r>
        <w:rPr>
          <w:rFonts w:ascii="Menlo" w:hAnsi="Menlo" w:cs="Menlo"/>
          <w:sz w:val="17"/>
        </w:rPr>
        <w:t xml:space="preserve">requirements.txt</w:t>
      </w:r>
      <w:r>
        <w:rPr/>
        <w:t xml:space="preserve"> pins every package; </w:t>
      </w:r>
      <w:r>
        <w:rPr>
          <w:rFonts w:ascii="Menlo" w:hAnsi="Menlo" w:cs="Menlo"/>
          <w:sz w:val="17"/>
        </w:rPr>
        <w:t xml:space="preserve">requirements-serve.txt</w:t>
      </w:r>
      <w:r>
        <w:rPr/>
        <w:t xml:space="preserve"> holds only the runtime subset the container needs. Random seeds are fixed (42).</w:t>
      </w: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Verified from a clean setup.</w:t>
      </w:r>
      <w:r>
        <w:rPr/>
        <w:t xml:space="preserve"> The CI runner starts from an empty machine and installs only from </w:t>
      </w:r>
      <w:r>
        <w:rPr>
          <w:rFonts w:ascii="Menlo" w:hAnsi="Menlo" w:cs="Menlo"/>
          <w:sz w:val="17"/>
        </w:rPr>
        <w:t xml:space="preserve">requirements.txt</w:t>
      </w:r>
      <w:r>
        <w:rPr/>
        <w:t xml:space="preserve"> before downloading the data, testing and training - so a green run is evidence that the scripts do not depend on anything local.</w:t>
      </w:r>
    </w:p>
    <w:p>
      <w:pPr>
        <w:pStyle w:val="Heading1"/>
      </w:pPr>
      <w:r>
        <w:rPr/>
        <w:t xml:space="preserve">8. CI/CD pipeline and automated testing</w:t>
      </w:r>
    </w:p>
    <w:p>
      <w:pPr>
        <w:jc w:val="both"/>
      </w:pPr>
      <w:r>
        <w:rPr/>
        <w:t xml:space="preserve">The suite has </w:t>
      </w:r>
      <w:r>
        <w:rPr>
          <w:b/>
        </w:rPr>
        <w:t xml:space="preserve">20 pytest tests</w:t>
      </w:r>
      <w:r>
        <w:rPr/>
        <w:t xml:space="preserve">: data cleaning and parsing (5), the preprocessing transformers (3: finite output, standardised numeric columns, tolerance of unseen categories and missing values), the model (4: cross-validated AUC above 0.8, output contract, determinism, saved model loads) and the API (8: health, prediction contract, four invalid-value cases, a missing field, metrics exposure).</w:t>
      </w:r>
    </w:p>
    <w:p>
      <w:pPr>
        <w:jc w:val="both"/>
      </w:pPr>
      <w:r>
        <w:rPr>
          <w:rFonts w:ascii="Menlo" w:hAnsi="Menlo" w:cs="Menlo"/>
          <w:sz w:val="17"/>
        </w:rPr>
        <w:t xml:space="preserve">.github/workflows/ci.yml</w:t>
      </w:r>
      <w:r>
        <w:rPr/>
        <w:t xml:space="preserve"> runs on every push and on demand. Job </w:t>
      </w:r>
      <w:r>
        <w:rPr>
          <w:b/>
        </w:rPr>
        <w:t xml:space="preserve">build-test-train</w:t>
      </w:r>
      <w:r>
        <w:rPr/>
        <w:t xml:space="preserve">: install dependencies, </w:t>
      </w:r>
      <w:r>
        <w:rPr>
          <w:rFonts w:ascii="Menlo" w:hAnsi="Menlo" w:cs="Menlo"/>
          <w:sz w:val="17"/>
        </w:rPr>
        <w:t xml:space="preserve">ruff</w:t>
      </w:r>
      <w:r>
        <w:rPr/>
        <w:t xml:space="preserve"> lint, download the data, </w:t>
      </w:r>
      <w:r>
        <w:rPr>
          <w:rFonts w:ascii="Menlo" w:hAnsi="Menlo" w:cs="Menlo"/>
          <w:sz w:val="17"/>
        </w:rPr>
        <w:t xml:space="preserve">pytest</w:t>
      </w:r>
      <w:r>
        <w:rPr/>
        <w:t xml:space="preserve">, train the models with MLflow, then upload the JUnit test report and the model, metrics and MLflow runs as workflow artifacts. Job </w:t>
      </w:r>
      <w:r>
        <w:rPr>
          <w:b/>
        </w:rPr>
        <w:t xml:space="preserve">docker</w:t>
      </w:r>
      <w:r>
        <w:rPr/>
        <w:t xml:space="preserve"> (only if the first passes): build the image, start the container, and call </w:t>
      </w:r>
      <w:r>
        <w:rPr>
          <w:rFonts w:ascii="Menlo" w:hAnsi="Menlo" w:cs="Menlo"/>
          <w:sz w:val="17"/>
        </w:rPr>
        <w:t xml:space="preserve">/health</w:t>
      </w:r>
      <w:r>
        <w:rPr/>
        <w:t xml:space="preserve"> and </w:t>
      </w:r>
      <w:r>
        <w:rPr>
          <w:rFonts w:ascii="Menlo" w:hAnsi="Menlo" w:cs="Menlo"/>
          <w:sz w:val="17"/>
        </w:rPr>
        <w:t xml:space="preserve">/predict</w:t>
      </w:r>
      <w:r>
        <w:rPr/>
        <w:t xml:space="preserve">. Steps are ordered cheapest-first and each depends on the previous one, so a failure stops the pipeline and marks the run red.</w:t>
      </w:r>
    </w:p>
    <w:tbl>
      <w:tblPr>
        <w:tblW w:w="9906" w:type="dxa"/>
        <w:tblBorders>
          <w:top w:val="single" w:sz="4" w:color="B2BABB"/>
          <w:left w:val="single" w:sz="4" w:color="B2BABB"/>
          <w:bottom w:val="single" w:sz="4" w:color="B2BABB"/>
          <w:right w:val="single" w:sz="4" w:color="B2BABB"/>
          <w:insideH w:val="single" w:sz="4" w:color="B2BABB"/>
          <w:insideV w:val="single" w:sz="4" w:color="B2BABB"/>
        </w:tblBorders>
        <w:tblCellMar>
          <w:left w:w="70" w:type="dxa"/>
          <w:right w:w="70" w:type="dxa"/>
        </w:tblCellMar>
      </w:tblPr>
      <w:tblGrid>
        <w:gridCol w:w="792"/>
        <w:gridCol w:w="1188"/>
        <w:gridCol w:w="3962"/>
        <w:gridCol w:w="3962"/>
      </w:tblGrid>
      <w:tr>
        <w:tc>
          <w:tcPr>
            <w:tcW w:w="792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Run</w:t>
            </w:r>
          </w:p>
        </w:tc>
        <w:tc>
          <w:tcPr>
            <w:tcW w:w="1188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Commit</w:t>
            </w:r>
          </w:p>
        </w:tc>
        <w:tc>
          <w:tcPr>
            <w:tcW w:w="3962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Purpose</w:t>
            </w:r>
          </w:p>
        </w:tc>
        <w:tc>
          <w:tcPr>
            <w:tcW w:w="3962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Result</w:t>
            </w:r>
          </w:p>
        </w:tc>
      </w:tr>
      <w:tr>
        <w:tc>
          <w:tcPr>
            <w:tcW w:w="792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#3</w:t>
            </w:r>
          </w:p>
        </w:tc>
        <w:tc>
          <w:tcPr>
            <w:tcW w:w="118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6bd7a67</w:t>
            </w:r>
          </w:p>
        </w:tc>
        <w:tc>
          <w:tcPr>
            <w:tcW w:w="3962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Finished branch</w:t>
            </w:r>
          </w:p>
        </w:tc>
        <w:tc>
          <w:tcPr>
            <w:tcW w:w="3962" w:type="dxa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Passed</w:t>
            </w:r>
            <w:r>
              <w:rPr>
                <w:sz w:val="17"/>
              </w:rPr>
              <w:t xml:space="preserve"> - lint, 20 tests, training, Docker build and smoke test</w:t>
            </w:r>
          </w:p>
        </w:tc>
      </w:tr>
      <w:tr>
        <w:tc>
          <w:tcPr>
            <w:tcW w:w="792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#4</w:t>
            </w:r>
          </w:p>
        </w:tc>
        <w:tc>
          <w:tcPr>
            <w:tcW w:w="118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1e90cec</w:t>
            </w:r>
          </w:p>
        </w:tc>
        <w:tc>
          <w:tcPr>
            <w:tcW w:w="3962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Deliberate regression: target threshold changed to </w:t>
            </w:r>
            <w:r>
              <w:rPr>
                <w:rFonts w:ascii="Menlo" w:hAnsi="Menlo" w:cs="Menlo"/>
                <w:sz w:val="17"/>
              </w:rPr>
              <w:t xml:space="preserve">&gt; 1</w:t>
            </w:r>
          </w:p>
        </w:tc>
        <w:tc>
          <w:tcPr>
            <w:tcW w:w="3962" w:type="dxa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Failed at Unit tests</w:t>
            </w:r>
            <w:r>
              <w:rPr>
                <w:sz w:val="17"/>
              </w:rPr>
              <w:t xml:space="preserve">; training and Docker jobs skipped</w:t>
            </w:r>
          </w:p>
        </w:tc>
      </w:tr>
      <w:tr>
        <w:tc>
          <w:tcPr>
            <w:tcW w:w="792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#5</w:t>
            </w:r>
          </w:p>
        </w:tc>
        <w:tc>
          <w:tcPr>
            <w:tcW w:w="118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1916dbc</w:t>
            </w:r>
          </w:p>
        </w:tc>
        <w:tc>
          <w:tcPr>
            <w:tcW w:w="3962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Deliberate lint error (unused import)</w:t>
            </w:r>
          </w:p>
        </w:tc>
        <w:tc>
          <w:tcPr>
            <w:tcW w:w="3962" w:type="dxa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Failed at Lint</w:t>
            </w:r>
            <w:r>
              <w:rPr>
                <w:sz w:val="17"/>
              </w:rPr>
              <w:t xml:space="preserve">; tests, training, Docker skipped</w:t>
            </w:r>
          </w:p>
        </w:tc>
      </w:tr>
    </w:tbl>
    <w:p>
      <w:pPr>
        <w:spacing w:before="0" w:after="40"/>
      </w:pPr>
    </w:p>
    <w:p>
      <w:pPr>
        <w:jc w:val="both"/>
      </w:pPr>
      <w:r>
        <w:rPr/>
        <w:t xml:space="preserve">Runs #4 and #5 were pushed on a throwaway branch (</w:t>
      </w:r>
      <w:r>
        <w:rPr>
          <w:rFonts w:ascii="Menlo" w:hAnsi="Menlo" w:cs="Menlo"/>
          <w:sz w:val="17"/>
        </w:rPr>
        <w:t xml:space="preserve">ci-failure-demo</w:t>
      </w:r>
      <w:r>
        <w:rPr/>
        <w:t xml:space="preserve">) to show that the pipeline really fails on code and test errors. The failing assertion was reproduced locally first (</w:t>
      </w:r>
      <w:r>
        <w:rPr>
          <w:rFonts w:ascii="Menlo" w:hAnsi="Menlo" w:cs="Menlo"/>
          <w:sz w:val="17"/>
        </w:rPr>
        <w:t xml:space="preserve">assert 6 == 8</w:t>
      </w:r>
      <w:r>
        <w:rPr/>
        <w:t xml:space="preserve">).</w:t>
      </w:r>
    </w:p>
    <w:tbl>
      <w:tblPr>
        <w:tblW w:w="9906" w:type="dxa"/>
        <w:tblCellMar>
          <w:left w:w="70" w:type="dxa"/>
          <w:right w:w="70" w:type="dxa"/>
        </w:tblCellMar>
      </w:tblPr>
      <w:tblGrid>
        <w:gridCol w:w="4953"/>
        <w:gridCol w:w="4953"/>
      </w:tblGrid>
      <w:tr>
        <w:tc>
          <w:tcPr>
            <w:tcW w:w="4953" w:type="dxa"/>
          </w:tcPr>
          <w:p>
            <w:pPr>
              <w:jc w:val="center"/>
            </w:pPr>
            <w:r>
              <w:rPr>
                <w:highlight w:val="yellow"/>
              </w:rPr>
              <w:t xml:space="preserve">[Screenshot to insert: Figure 12]</w:t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12 - Run #3: all jobs and steps pass.</w:t>
            </w:r>
          </w:p>
        </w:tc>
        <w:tc>
          <w:tcPr>
            <w:tcW w:w="4953" w:type="dxa"/>
          </w:tcPr>
          <w:p>
            <w:pPr>
              <w:jc w:val="center"/>
            </w:pPr>
            <w:r>
              <w:rPr>
                <w:highlight w:val="yellow"/>
              </w:rPr>
              <w:t xml:space="preserve">[Screenshot to insert: Figure 13]</w:t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13 - Workflow runs: green and deliberately red.</w:t>
            </w:r>
          </w:p>
        </w:tc>
      </w:tr>
    </w:tbl>
    <w:p>
      <w:pPr>
        <w:spacing w:before="0" w:after="40"/>
      </w:pPr>
    </w:p>
    <w:tbl>
      <w:tblPr>
        <w:tblW w:w="9906" w:type="dxa"/>
        <w:tblCellMar>
          <w:left w:w="70" w:type="dxa"/>
          <w:right w:w="70" w:type="dxa"/>
        </w:tblCellMar>
      </w:tblPr>
      <w:tblGrid>
        <w:gridCol w:w="4953"/>
        <w:gridCol w:w="4953"/>
      </w:tblGrid>
      <w:tr>
        <w:tc>
          <w:tcPr>
            <w:tcW w:w="4953" w:type="dxa"/>
          </w:tcPr>
          <w:p>
            <w:pPr>
              <w:jc w:val="center"/>
            </w:pPr>
            <w:r>
              <w:rPr>
                <w:highlight w:val="yellow"/>
              </w:rPr>
              <w:t xml:space="preserve">[Screenshot to insert: Figure 14]</w:t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14 - Run #4 stops at Unit tests.</w:t>
            </w:r>
          </w:p>
        </w:tc>
        <w:tc>
          <w:tcPr>
            <w:tcW w:w="4953" w:type="dxa"/>
          </w:tcPr>
          <w:p>
            <w:pPr>
              <w:jc w:val="center"/>
            </w:pPr>
            <w:r>
              <w:rPr>
                <w:highlight w:val="yellow"/>
              </w:rPr>
              <w:t xml:space="preserve">[Screenshot to insert: Figure 15]</w:t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15 - Run #5 stops at Lint.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rPr/>
        <w:t xml:space="preserve">9. Containerisation and production deployment</w:t>
      </w:r>
    </w:p>
    <w:p>
      <w:pPr>
        <w:jc w:val="both"/>
      </w:pPr>
      <w:r>
        <w:rPr>
          <w:b/>
        </w:rPr>
        <w:t xml:space="preserve">Image.</w:t>
      </w:r>
      <w:r>
        <w:rPr/>
        <w:t xml:space="preserve"> The Dockerfile starts from </w:t>
      </w:r>
      <w:r>
        <w:rPr>
          <w:rFonts w:ascii="Menlo" w:hAnsi="Menlo" w:cs="Menlo"/>
          <w:sz w:val="17"/>
        </w:rPr>
        <w:t xml:space="preserve">python:3.10-slim</w:t>
      </w:r>
      <w:r>
        <w:rPr/>
        <w:t xml:space="preserve">, installs only </w:t>
      </w:r>
      <w:r>
        <w:rPr>
          <w:rFonts w:ascii="Menlo" w:hAnsi="Menlo" w:cs="Menlo"/>
          <w:sz w:val="17"/>
        </w:rPr>
        <w:t xml:space="preserve">requirements-serve.txt</w:t>
      </w:r>
      <w:r>
        <w:rPr/>
        <w:t xml:space="preserve"> (no MLflow or notebook tooling), copies just </w:t>
      </w:r>
      <w:r>
        <w:rPr>
          <w:rFonts w:ascii="Menlo" w:hAnsi="Menlo" w:cs="Menlo"/>
          <w:sz w:val="17"/>
        </w:rPr>
        <w:t xml:space="preserve">src/</w:t>
      </w:r>
      <w:r>
        <w:rPr/>
        <w:t xml:space="preserve">, </w:t>
      </w:r>
      <w:r>
        <w:rPr>
          <w:rFonts w:ascii="Menlo" w:hAnsi="Menlo" w:cs="Menlo"/>
          <w:sz w:val="17"/>
        </w:rPr>
        <w:t xml:space="preserve">api/</w:t>
      </w:r>
      <w:r>
        <w:rPr/>
        <w:t xml:space="preserve"> and the model, runs as a non-root user and defines a </w:t>
      </w:r>
      <w:r>
        <w:rPr>
          <w:rFonts w:ascii="Menlo" w:hAnsi="Menlo" w:cs="Menlo"/>
          <w:sz w:val="17"/>
        </w:rPr>
        <w:t xml:space="preserve">HEALTHCHECK</w:t>
      </w:r>
      <w:r>
        <w:rPr/>
        <w:t xml:space="preserve">. The image is 473 MB.</w:t>
      </w:r>
    </w:p>
    <w:p>
      <w:pPr>
        <w:jc w:val="both"/>
      </w:pPr>
      <w:r>
        <w:rPr>
          <w:b/>
        </w:rPr>
        <w:t xml:space="preserve">API.</w:t>
      </w:r>
      <w:r>
        <w:rPr/>
        <w:t xml:space="preserve"> </w:t>
      </w:r>
      <w:r>
        <w:rPr>
          <w:rFonts w:ascii="Menlo" w:hAnsi="Menlo" w:cs="Menlo"/>
          <w:sz w:val="17"/>
        </w:rPr>
        <w:t xml:space="preserve">POST /predict</w:t>
      </w:r>
      <w:r>
        <w:rPr/>
        <w:t xml:space="preserve"> takes the 13 clinical fields as JSON and returns the prediction and the confidence (the probability of the predicted class). Inputs are validated (ranges and allowed codes); invalid or missing fields return HTTP 422 instead of a guess. </w:t>
      </w:r>
      <w:r>
        <w:rPr>
          <w:rFonts w:ascii="Menlo" w:hAnsi="Menlo" w:cs="Menlo"/>
          <w:sz w:val="17"/>
        </w:rPr>
        <w:t xml:space="preserve">GET /health</w:t>
      </w:r>
      <w:r>
        <w:rPr/>
        <w:t xml:space="preserve"> is used by the probes and </w:t>
      </w:r>
      <w:r>
        <w:rPr>
          <w:rFonts w:ascii="Menlo" w:hAnsi="Menlo" w:cs="Menlo"/>
          <w:sz w:val="17"/>
        </w:rPr>
        <w:t xml:space="preserve">GET /metrics</w:t>
      </w:r>
      <w:r>
        <w:rPr/>
        <w:t xml:space="preserve"> exposes Prometheus metrics.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$ curl localhost:8001/health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{"status":"ok"}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 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$ curl -X POST localhost:8001/predict -H 'Content-Type: application/json' -d '{"age":63,"sex":1,"cp":1,"trest...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{"prediction":0,"diagnosis":"no heart disease","confidence":0.8345,"probability_disease":0.1655}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 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$ curl -X POST localhost:8001/predict ... (high-risk patient)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{"prediction":1,"diagnosis":"heart disease","confidence":0.9856,"probability_disease":0.9856}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 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$ curl -X POST localhost:8001/predict -d {"age":-5}   # invalid input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{"detail":[{"type":"greater_than_equal","loc":["body","age"],"msg":"Input should be greater than or equal to ...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HTTP 422</w:t>
      </w:r>
    </w:p>
    <w:p>
      <w:pPr>
        <w:spacing w:before="0" w:after="60"/>
      </w:pPr>
    </w:p>
    <w:p>
      <w:pPr>
        <w:jc w:val="center"/>
      </w:pPr>
      <w:r>
        <w:rPr>
          <w:highlight w:val="yellow"/>
        </w:rPr>
        <w:t xml:space="preserve">[Screenshot to insert: Figure 16]</w:t>
      </w:r>
    </w:p>
    <w:p>
      <w:pPr>
        <w:pStyle w:val="Caption"/>
        <w:jc w:val="center"/>
      </w:pPr>
      <w:r>
        <w:rPr>
          <w:sz w:val="16"/>
        </w:rPr>
        <w:t xml:space="preserve">Figure 16 - Docker build and run with a sample request (terminal).</w:t>
      </w:r>
    </w:p>
    <w:p>
      <w:pPr>
        <w:jc w:val="both"/>
      </w:pPr>
      <w:r>
        <w:rPr>
          <w:b/>
        </w:rPr>
        <w:t xml:space="preserve">Kubernetes.</w:t>
      </w:r>
      <w:r>
        <w:rPr/>
        <w:t xml:space="preserve"> The target is the local Docker Desktop cluster (context </w:t>
      </w:r>
      <w:r>
        <w:rPr>
          <w:rFonts w:ascii="Menlo" w:hAnsi="Menlo" w:cs="Menlo"/>
          <w:sz w:val="17"/>
        </w:rPr>
        <w:t xml:space="preserve">docker-desktop</w:t>
      </w:r>
      <w:r>
        <w:rPr/>
        <w:t xml:space="preserve">), chosen over a paid cloud so the deployment is free to reproduce. </w:t>
      </w:r>
      <w:r>
        <w:rPr>
          <w:rFonts w:ascii="Menlo" w:hAnsi="Menlo" w:cs="Menlo"/>
          <w:sz w:val="17"/>
        </w:rPr>
        <w:t xml:space="preserve">k8s/</w:t>
      </w:r>
      <w:r>
        <w:rPr/>
        <w:t xml:space="preserve"> holds a Namespace, a Deployment (2 replicas, readiness and liveness probes on </w:t>
      </w:r>
      <w:r>
        <w:rPr>
          <w:rFonts w:ascii="Menlo" w:hAnsi="Menlo" w:cs="Menlo"/>
          <w:sz w:val="17"/>
        </w:rPr>
        <w:t xml:space="preserve">/health</w:t>
      </w:r>
      <w:r>
        <w:rPr/>
        <w:t xml:space="preserve">, CPU/memory requests and limits) and a </w:t>
      </w:r>
      <w:r>
        <w:rPr>
          <w:rFonts w:ascii="Menlo" w:hAnsi="Menlo" w:cs="Menlo"/>
          <w:sz w:val="17"/>
        </w:rPr>
        <w:t xml:space="preserve">LoadBalancer</w:t>
      </w:r>
      <w:r>
        <w:rPr/>
        <w:t xml:space="preserve"> Service mapping port 8080 to the container's 8000. The image uses </w:t>
      </w:r>
      <w:r>
        <w:rPr>
          <w:rFonts w:ascii="Menlo" w:hAnsi="Menlo" w:cs="Menlo"/>
          <w:sz w:val="17"/>
        </w:rPr>
        <w:t xml:space="preserve">imagePullPolicy: Never</w:t>
      </w:r>
      <w:r>
        <w:rPr/>
        <w:t xml:space="preserve"> because it is built locally; on GKE/EKS/AKS it would be pushed to a registry and the policy changed.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kubectl --context docker-desktop apply -f k8s/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NAME                                READY   UP-TO-DATE   AVAILABLE   AGE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deployment.apps/heart-disease-api   2/2     2            2           43h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 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NAME                                     READY   STATUS    RESTARTS   AGE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pod/heart-disease-api-696dc4b5db-5gkxf   1/1     Running   0          43h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pod/heart-disease-api-696dc4b5db-ptbcx   1/1     Running   0          43h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 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NAME                        TYPE           CLUSTER-IP       EXTERNAL-IP   PORT(S)          AGE</w:t>
      </w:r>
    </w:p>
    <w:p>
      <w:pPr>
        <w:shd w:val="clear" w:color="auto" w:fill="F4F6F7"/>
        <w:spacing w:before="0" w:after="0" w:line="220" w:lineRule="exact"/>
      </w:pPr>
      <w:r>
        <w:rPr>
          <w:rFonts w:ascii="Menlo" w:hAnsi="Menlo" w:cs="Menlo"/>
          <w:sz w:val="14"/>
        </w:rPr>
        <w:t xml:space="preserve">service/heart-disease-api   LoadBalancer   10.101.240.117   localhost     8080:30731/TCP   43h</w:t>
      </w:r>
    </w:p>
    <w:p>
      <w:pPr>
        <w:spacing w:before="0" w:after="60"/>
      </w:pPr>
    </w:p>
    <w:tbl>
      <w:tblPr>
        <w:tblW w:w="9906" w:type="dxa"/>
        <w:tblCellMar>
          <w:left w:w="70" w:type="dxa"/>
          <w:right w:w="70" w:type="dxa"/>
        </w:tblCellMar>
      </w:tblPr>
      <w:tblGrid>
        <w:gridCol w:w="4953"/>
        <w:gridCol w:w="4953"/>
      </w:tblGrid>
      <w:tr>
        <w:tc>
          <w:tcPr>
            <w:tcW w:w="4953" w:type="dxa"/>
          </w:tcPr>
          <w:p>
            <w:pPr>
              <w:jc w:val="center"/>
            </w:pPr>
            <w:r>
              <w:rPr>
                <w:highlight w:val="yellow"/>
              </w:rPr>
              <w:t xml:space="preserve">[Screenshot to insert: Figure 17]</w:t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17 - Pods and service on the cluster (terminal).</w:t>
            </w:r>
          </w:p>
        </w:tc>
        <w:tc>
          <w:tcPr>
            <w:tcW w:w="4953" w:type="dxa"/>
          </w:tcPr>
          <w:p>
            <w:pPr>
              <w:jc w:val="center"/>
            </w:pPr>
            <w:r>
              <w:drawing>
                <wp:inline distT="0" distB="0" distL="0" distR="0">
                  <wp:extent cx="2956445" cy="1585921"/>
                  <wp:docPr id="12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445" cy="1585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18 - API docs served through the LoadBalancer at localhost:8080.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rPr/>
        <w:t xml:space="preserve">10. Monitoring and logging</w:t>
      </w:r>
    </w:p>
    <w:p>
      <w:pPr>
        <w:jc w:val="both"/>
      </w:pPr>
      <w:r>
        <w:rPr/>
        <w:t xml:space="preserve">Every request is logged to stdout with method, path, status and latency, and every prediction with its input and result (visible with </w:t>
      </w:r>
      <w:r>
        <w:rPr>
          <w:rFonts w:ascii="Menlo" w:hAnsi="Menlo" w:cs="Menlo"/>
          <w:sz w:val="17"/>
        </w:rPr>
        <w:t xml:space="preserve">kubectl logs</w:t>
      </w:r>
      <w:r>
        <w:rPr/>
        <w:t xml:space="preserve">). The service exposes four Prometheus series: </w:t>
      </w:r>
      <w:r>
        <w:rPr>
          <w:rFonts w:ascii="Menlo" w:hAnsi="Menlo" w:cs="Menlo"/>
          <w:sz w:val="17"/>
        </w:rPr>
        <w:t xml:space="preserve">api_requests_total{method,path,status}</w:t>
      </w:r>
      <w:r>
        <w:rPr/>
        <w:t xml:space="preserve">, </w:t>
      </w:r>
      <w:r>
        <w:rPr>
          <w:rFonts w:ascii="Menlo" w:hAnsi="Menlo" w:cs="Menlo"/>
          <w:sz w:val="17"/>
        </w:rPr>
        <w:t xml:space="preserve">api_request_latency_seconds</w:t>
      </w:r>
      <w:r>
        <w:rPr/>
        <w:t xml:space="preserve"> (histogram), </w:t>
      </w:r>
      <w:r>
        <w:rPr>
          <w:rFonts w:ascii="Menlo" w:hAnsi="Menlo" w:cs="Menlo"/>
          <w:sz w:val="17"/>
        </w:rPr>
        <w:t xml:space="preserve">model_predictions_total{diagnosis}</w:t>
      </w:r>
      <w:r>
        <w:rPr/>
        <w:t xml:space="preserve"> and </w:t>
      </w:r>
      <w:r>
        <w:rPr>
          <w:rFonts w:ascii="Menlo" w:hAnsi="Menlo" w:cs="Menlo"/>
          <w:sz w:val="17"/>
        </w:rPr>
        <w:t xml:space="preserve">model_prediction_errors_total</w:t>
      </w:r>
      <w:r>
        <w:rPr/>
        <w:t xml:space="preserve">. </w:t>
      </w:r>
      <w:r>
        <w:rPr>
          <w:rFonts w:ascii="Menlo" w:hAnsi="Menlo" w:cs="Menlo"/>
          <w:sz w:val="17"/>
        </w:rPr>
        <w:t xml:space="preserve">docker-compose.yml</w:t>
      </w:r>
      <w:r>
        <w:rPr/>
        <w:t xml:space="preserve"> starts the API, Prometheus (scraping every 5 s) and Grafana, which loads a provisioned dashboard: request rate by path and status, p50/p95 latency, predictions by outcome, and 4xx/5xx counts.</w:t>
      </w:r>
    </w:p>
    <w:p>
      <w:pPr>
        <w:jc w:val="both"/>
      </w:pPr>
      <w:r>
        <w:rPr>
          <w:rFonts w:ascii="Menlo" w:hAnsi="Menlo" w:cs="Menlo"/>
          <w:sz w:val="17"/>
        </w:rPr>
        <w:t xml:space="preserve">scripts/generate_traffic.py</w:t>
      </w:r>
      <w:r>
        <w:rPr/>
        <w:t xml:space="preserve"> replays real dataset rows (with about 12% deliberately invalid requests) to exercise the dashboard. Under that local load the p95 </w:t>
      </w:r>
      <w:r>
        <w:rPr>
          <w:rFonts w:ascii="Menlo" w:hAnsi="Menlo" w:cs="Menlo"/>
          <w:sz w:val="17"/>
        </w:rPr>
        <w:t xml:space="preserve">/predict</w:t>
      </w:r>
      <w:r>
        <w:rPr/>
        <w:t xml:space="preserve"> latency was about 24 ms. The 4xx counter rises with the invalid requests while 5xx stays at zero.</w:t>
      </w:r>
    </w:p>
    <w:p>
      <w:pPr>
        <w:jc w:val="center"/>
      </w:pPr>
      <w:r>
        <w:drawing>
          <wp:inline distT="0" distB="0" distL="0" distR="0">
            <wp:extent cx="5661279" cy="204805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61279" cy="20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sz w:val="16"/>
        </w:rPr>
        <w:t xml:space="preserve">Figure 19 - Grafana dashboard during generated traffic.</w:t>
      </w:r>
    </w:p>
    <w:tbl>
      <w:tblPr>
        <w:tblW w:w="9906" w:type="dxa"/>
        <w:tblCellMar>
          <w:left w:w="70" w:type="dxa"/>
          <w:right w:w="70" w:type="dxa"/>
        </w:tblCellMar>
      </w:tblPr>
      <w:tblGrid>
        <w:gridCol w:w="4953"/>
        <w:gridCol w:w="4953"/>
      </w:tblGrid>
      <w:tr>
        <w:tc>
          <w:tcPr>
            <w:tcW w:w="4953" w:type="dxa"/>
          </w:tcPr>
          <w:p>
            <w:pPr>
              <w:jc w:val="center"/>
            </w:pPr>
            <w:r>
              <w:drawing>
                <wp:inline distT="0" distB="0" distL="0" distR="0">
                  <wp:extent cx="2956445" cy="638592"/>
                  <wp:docPr id="14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445" cy="638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20 - Prometheus target </w:t>
            </w:r>
            <w:r>
              <w:rPr>
                <w:rFonts w:ascii="Menlo" w:hAnsi="Menlo" w:cs="Menlo"/>
                <w:sz w:val="17"/>
              </w:rPr>
              <w:t xml:space="preserve">api:8000/metrics</w:t>
            </w:r>
            <w:r>
              <w:rPr>
                <w:sz w:val="16"/>
              </w:rPr>
              <w:t xml:space="preserve"> is UP.</w:t>
            </w:r>
          </w:p>
        </w:tc>
        <w:tc>
          <w:tcPr>
            <w:tcW w:w="4953" w:type="dxa"/>
          </w:tcPr>
          <w:p>
            <w:pPr>
              <w:jc w:val="center"/>
            </w:pPr>
            <w:r>
              <w:drawing>
                <wp:inline distT="0" distB="0" distL="0" distR="0">
                  <wp:extent cx="2956445" cy="1585921"/>
                  <wp:docPr id="15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445" cy="1585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jc w:val="center"/>
            </w:pPr>
            <w:r>
              <w:rPr>
                <w:sz w:val="16"/>
              </w:rPr>
              <w:t xml:space="preserve">Figure 21 - Interactive API documentation (</w:t>
            </w:r>
            <w:r>
              <w:rPr>
                <w:rFonts w:ascii="Menlo" w:hAnsi="Menlo" w:cs="Menlo"/>
                <w:sz w:val="17"/>
              </w:rPr>
              <w:t xml:space="preserve">/docs</w:t>
            </w:r>
            <w:r>
              <w:rPr>
                <w:sz w:val="16"/>
              </w:rPr>
              <w:t xml:space="preserve">).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rPr/>
        <w:t xml:space="preserve">11. Limitations and future work</w:t>
      </w: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Small data.</w:t>
      </w:r>
      <w:r>
        <w:rPr/>
        <w:t xml:space="preserve"> 303 patients give wide uncertainty; quote metrics with their standard deviations. This is a coursework model on a historical dataset and not a medical device.</w:t>
      </w: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Local deployment.</w:t>
      </w:r>
      <w:r>
        <w:rPr/>
        <w:t xml:space="preserve"> There is no public URL; the API is reachable at </w:t>
      </w:r>
      <w:r>
        <w:rPr>
          <w:rFonts w:ascii="Menlo" w:hAnsi="Menlo" w:cs="Menlo"/>
          <w:sz w:val="17"/>
        </w:rPr>
        <w:t xml:space="preserve">localhost:8080</w:t>
      </w:r>
      <w:r>
        <w:rPr/>
        <w:t xml:space="preserve"> on the machine running the cluster. The model file is committed so images build reproducibly; a production system would load it from a model registry.</w:t>
      </w:r>
    </w:p>
    <w:p>
      <w:pPr>
        <w:ind w:left="360" w:hanging="260"/>
        <w:jc w:val="both"/>
      </w:pPr>
      <w:r>
        <w:rPr/>
        <w:t xml:space="preserve">•	</w:t>
      </w:r>
      <w:r>
        <w:rPr>
          <w:b/>
        </w:rPr>
        <w:t xml:space="preserve">Not covered:</w:t>
      </w:r>
      <w:r>
        <w:rPr/>
        <w:t xml:space="preserve"> authentication and TLS, autoscaling, input-drift and performance monitoring, and automated retraining and continuous deployment (CI stops at a verified image).</w:t>
      </w:r>
    </w:p>
    <w:p>
      <w:pPr>
        <w:pStyle w:val="Heading1"/>
      </w:pPr>
      <w:r>
        <w:rPr/>
        <w:t xml:space="preserve">12. Deliverables map</w:t>
      </w:r>
    </w:p>
    <w:tbl>
      <w:tblPr>
        <w:tblW w:w="9906" w:type="dxa"/>
        <w:tblBorders>
          <w:top w:val="single" w:sz="4" w:color="B2BABB"/>
          <w:left w:val="single" w:sz="4" w:color="B2BABB"/>
          <w:bottom w:val="single" w:sz="4" w:color="B2BABB"/>
          <w:right w:val="single" w:sz="4" w:color="B2BABB"/>
          <w:insideH w:val="single" w:sz="4" w:color="B2BABB"/>
          <w:insideV w:val="single" w:sz="4" w:color="B2BABB"/>
        </w:tblBorders>
        <w:tblCellMar>
          <w:left w:w="70" w:type="dxa"/>
          <w:right w:w="70" w:type="dxa"/>
        </w:tblCellMar>
      </w:tblPr>
      <w:tblGrid>
        <w:gridCol w:w="3368"/>
        <w:gridCol w:w="6537"/>
      </w:tblGrid>
      <w:tr>
        <w:tc>
          <w:tcPr>
            <w:tcW w:w="3368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Required deliverable</w:t>
            </w:r>
          </w:p>
        </w:tc>
        <w:tc>
          <w:tcPr>
            <w:tcW w:w="6537" w:type="dxa"/>
            <w:shd w:val="clear" w:color="auto" w:fill="1A5276"/>
          </w:tcPr>
          <w:p>
            <w:pPr>
              <w:spacing w:before="20" w:after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Code, Dockerfile, requirements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rFonts w:ascii="Menlo" w:hAnsi="Menlo" w:cs="Menlo"/>
                <w:sz w:val="17"/>
              </w:rPr>
              <w:t xml:space="preserve">src/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api/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Dockerfile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requirements.txt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requirements-serve.txt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Cleaned dataset and download script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rFonts w:ascii="Menlo" w:hAnsi="Menlo" w:cs="Menlo"/>
                <w:sz w:val="17"/>
              </w:rPr>
              <w:t xml:space="preserve">data/processed/heart_clean.csv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scripts/download_data.py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Notebooks (EDA, training, inference)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rFonts w:ascii="Menlo" w:hAnsi="Menlo" w:cs="Menlo"/>
                <w:sz w:val="17"/>
              </w:rPr>
              <w:t xml:space="preserve">notebooks/01_eda.ipynb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02_training.ipynb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03_inference.ipynb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Unit tests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rFonts w:ascii="Menlo" w:hAnsi="Menlo" w:cs="Menlo"/>
                <w:sz w:val="17"/>
              </w:rPr>
              <w:t xml:space="preserve">tests/</w:t>
            </w:r>
            <w:r>
              <w:rPr>
                <w:sz w:val="17"/>
              </w:rPr>
              <w:t xml:space="preserve"> (20 tests)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GitHub Actions workflow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rFonts w:ascii="Menlo" w:hAnsi="Menlo" w:cs="Menlo"/>
                <w:sz w:val="17"/>
              </w:rPr>
              <w:t xml:space="preserve">.github/workflows/ci.yml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Deployment manifests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rFonts w:ascii="Menlo" w:hAnsi="Menlo" w:cs="Menlo"/>
                <w:sz w:val="17"/>
              </w:rPr>
              <w:t xml:space="preserve">k8s/</w:t>
            </w:r>
            <w:r>
              <w:rPr>
                <w:sz w:val="17"/>
              </w:rPr>
              <w:t xml:space="preserve">; monitoring in </w:t>
            </w:r>
            <w:r>
              <w:rPr>
                <w:rFonts w:ascii="Menlo" w:hAnsi="Menlo" w:cs="Menlo"/>
                <w:sz w:val="17"/>
              </w:rPr>
              <w:t xml:space="preserve">monitoring/</w:t>
            </w:r>
            <w:r>
              <w:rPr>
                <w:sz w:val="17"/>
              </w:rPr>
              <w:t xml:space="preserve"> and </w:t>
            </w:r>
            <w:r>
              <w:rPr>
                <w:rFonts w:ascii="Menlo" w:hAnsi="Menlo" w:cs="Menlo"/>
                <w:sz w:val="17"/>
              </w:rPr>
              <w:t xml:space="preserve">docker-compose.yml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Screenshots, report, video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rFonts w:ascii="Menlo" w:hAnsi="Menlo" w:cs="Menlo"/>
                <w:sz w:val="17"/>
              </w:rPr>
              <w:t xml:space="preserve">screenshots/</w:t>
            </w:r>
            <w:r>
              <w:rPr>
                <w:sz w:val="17"/>
              </w:rPr>
              <w:t xml:space="preserve">, </w:t>
            </w:r>
            <w:r>
              <w:rPr>
                <w:rFonts w:ascii="Menlo" w:hAnsi="Menlo" w:cs="Menlo"/>
                <w:sz w:val="17"/>
              </w:rPr>
              <w:t xml:space="preserve">report/</w:t>
            </w:r>
            <w:r>
              <w:rPr>
                <w:sz w:val="17"/>
              </w:rPr>
              <w:t xml:space="preserve">, and the video link in the submission folder</w:t>
            </w:r>
          </w:p>
        </w:tc>
      </w:tr>
      <w:tr>
        <w:tc>
          <w:tcPr>
            <w:tcW w:w="3368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Repository and API access</w:t>
            </w:r>
          </w:p>
        </w:tc>
        <w:tc>
          <w:tcPr>
            <w:tcW w:w="6537" w:type="dxa"/>
          </w:tcPr>
          <w:p>
            <w:pPr>
              <w:spacing w:before="20" w:after="20"/>
            </w:pPr>
            <w:r>
              <w:rPr>
                <w:sz w:val="17"/>
              </w:rPr>
              <w:t xml:space="preserve">https://github.com/pnand5/heart-disease-mlops - API at http://localhost:8080 after </w:t>
            </w:r>
            <w:r>
              <w:rPr>
                <w:rFonts w:ascii="Menlo" w:hAnsi="Menlo" w:cs="Menlo"/>
                <w:sz w:val="17"/>
              </w:rPr>
              <w:t xml:space="preserve">kubectl apply -f k8s/</w:t>
            </w:r>
          </w:p>
        </w:tc>
      </w:tr>
    </w:tbl>
    <w:p>
      <w:pPr>
        <w:spacing w:before="0" w:after="40"/>
      </w:pPr>
    </w:p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</w:rPr>
    </w:rPrDefault>
    <w:pPrDefault>
      <w:pPr>
        <w:spacing w:before="40" w:after="8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40"/>
    </w:pPr>
    <w:rPr>
      <w:color w:val="154360"/>
    </w:rPr>
  </w:style>
  <w:style w:type="paragraph" w:styleId="Subtitle">
    <w:name w:val="Subtitle"/>
    <w:basedOn w:val="Normal"/>
    <w:rPr>
      <w:color w:val="566573"/>
    </w:rPr>
  </w:style>
  <w:style w:type="paragraph" w:styleId="Heading1">
    <w:name w:val="heading 1"/>
    <w:basedOn w:val="Normal"/>
    <w:next w:val="Normal"/>
    <w:pPr>
      <w:keepNext/>
      <w:pBdr>
        <w:bottom w:val="single" w:sz="8" w:space="1" w:color="1A5276"/>
      </w:pBdr>
      <w:spacing w:before="280" w:after="100"/>
      <w:outlineLvl w:val="0"/>
    </w:pPr>
    <w:rPr>
      <w:b/>
      <w:color w:val="1A5276"/>
      <w:sz w:val="28"/>
    </w:rPr>
  </w:style>
  <w:style w:type="paragraph" w:styleId="Caption">
    <w:name w:val="caption"/>
    <w:basedOn w:val="Normal"/>
    <w:pPr>
      <w:spacing w:before="20" w:after="140"/>
    </w:pPr>
    <w:rPr>
      <w:i/>
      <w:color w:val="566573"/>
      <w:sz w:val="1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/Relationships>
</file>