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8pv2xgqwx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SC Interview Notes: Elodie Harbourne April 9th,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jxzbx5j5c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Background &amp; Early Life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Grew up in the southeast of United Kingdom (rural/countryside setting)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Parents currently live in Lincoln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Multicultural background: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Mother is from Jakarta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 connection to travel and international perspectives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gwxoycnxd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 &amp; Research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4th-year PhD student at University of Oxford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Planning to submit thesis by June 1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Viva expected ~August 1, with rapid turnaround on corrections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path: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Undergraduate degree at Oxford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Master’s in materials chemistry in Andrew Goodman's group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Continued into PhD within the same group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 for staying: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 group culture (passionate, kind, collaborative)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Desire to deepen and extend prior research projects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interests: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Materials chemistry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Applying science to real-world problem solving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Maintaining strong interest in fundamental science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slq63xx1u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Teaching Experience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Taught for the past 2 years at St Catherine’s College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 style: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Emphasis on group discussions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Values interactive learning environments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 teaching mutually beneficial—continued learning through instruction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80n863uda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Career Plans &amp; Future Direction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Currently exploring postdoctoral opportunities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priorities: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in a similar materials space, but learn new techniques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Seek environments with greater independence and freedom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Move outside the UK to gain new perspectives (“outside the Oxford bubble”)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locations: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Denmark (Aarhus and Copenhagen; existing collaborations)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Canada: attending conferences in Vancouver/Calgary this summer where hoping to do more networking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interest: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Academia (driven by intellectual freedom and teaching opportunities)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iwnj6r58v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Conferences &amp; Travel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in academic conferences during PhD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Notable travel: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 solo trip to Australia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Travel to Budapest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Visits to Indonesia, including islands near Jakarta and to islands nearby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xswegus12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 Interests &amp; Lifestyle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Enjoys travel and exploring new cultures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Gluten-free diet: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Finds it manageable in rice-based cuisines (e.g., Indonesia)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1pjbz7l58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Logistics &amp; Timing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Available to start around September–November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about opportunity via Oxford Chemistry Department listing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