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8pv2xgqwx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SC Interview Notes: Kishwar Iqbal April 9th,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p0tq8dpi3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&amp; Early Life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Born in Bangladesh; moved to the UK at age 10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 significant culture shock, which required adaptation and resilience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Father (civil engineer) was a major influence—early exposure to building and engineering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mxliby3uw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 &amp; Research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Undergrad in physics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completed a PhD in Chemistry at the University of Oxford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within a life sciences-focused research group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focus: building advanced light microscopes that measure scattered light signals to precisely quantify mass and answer fundamental biological questions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integration of: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Engineering (instrument design/building)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and algorithm development for data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3u52kxvzz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&amp; Outreach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assionate about teaching and widening access to education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Co-founded an outreach initiative ~3 years ago with 3 other Oxford students: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Targets first-generation university applicants (ages 17–18)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students from disadvantaged postcodes, primarily in northern UK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structure: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Hosted at Oxford during term breaks (e.g., Christmas, Easter)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Invited 3–5 schools for day-long experiences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 of paid and subsidized participation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Funding model leveraged fees from private schools to support access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Meaningful “micro-interactions” with students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Sharing his personal journey as inspiration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hef5nmlyz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Reflections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formative experience: adapting to a new country at a young age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pride in resilience and personal growth through that transition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strong ties to Bangladesh; has visited frequently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Family based outside Dhaka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3zermt0ls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Life &amp; Travel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is from Hong Kong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spent significant time traveling between regions together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highlights include: Malaysia, Japan, Taipei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8kj2nx0q9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Interests &amp; Career Direction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Interested in life sciences startups, particularly in Asia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Philippeanes/Hong Kong as a potential launchpad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Considering how to apply technical background in new environments: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Marine biology labs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Optics-focused labs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translate instrument-building expertise into new domains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future work would involve larger-scale or more complex projects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