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cardiac marker is the MOST specific and preferred for diagnosing acute myocardial infarction?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Creatine kinase (CK-MB)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Lactate dehydrogenase (LDH)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Troponin 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Aspartate aminotransferase (AST)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Cardiac troponin I is the most specific marker of myocardial necrosis and is preferred for MI diagnosis; it rises within 3-4 hours and stays elevated for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drug for relieving an acute attack of bronchial asthma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Inhaled salbutamol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Inhaled beclomethasone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Oral prednisolone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Oral theophylline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short-acting inhaled beta-2 agonist such as salbutamol is the first-line reliever for acute bronchospasm; inhaled steroids are preventive, not relievers.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COPD and CO2 retention should receive oxygen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Low flow 1-2 L/min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100% oxygen always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10-15 L/min via mask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flow 8-10 L/min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 CO2 retainers, high-flow oxygen suppresses the hypoxic respiratory drive and can cause CO2 narcosis; use low-flow oxygen titrated to a target SpO2 of 88-92%.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a duodenal ulcer typically experiences pain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Constant and unaffected by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Worse immediately after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Worse at night and relieved by lying down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Relieved by eating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Duodenal ulcer pain occurs 2-3 hours after meals and at night and is characteristically relieved by food and antacids, unlike gastric ulcer pain.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hypoglycemia (blood glucose below 70 mg/dL) who is conscious should first receive: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g of fast-acting carbohydrate, rechecked in 15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full meal with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Insulin 10 units subcutaneously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IV 0.9% normal saline bolus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'rule of 15' is followed: give 15 g of fast-acting carbohydrate (3-4 glucose tablets or 150 mL juice), recheck glucose in 15 minutes, and repeat if still low.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dietary modification is most appropriate for a client with chronic kidney disease?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dietary restriction is needed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Liberal potassium with low calcium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protein and high potassium diet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Restricted protein, sodium, potassium, and phosphorus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CKD requires restricted protein, sodium, potassium, and phosphorus to reduce uremic toxins, edema, hyperkalemia, and renal osteodystrophy.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Moon face, central obesity, buffalo hump, and purple striae are characteristic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Addison's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Cushing's syndrome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Graves' disease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Diabetes insipidus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Cushing's syndrome results from excess cortisol and causes moon facies, central obesity, buffalo hump, purple striae, hyperglycemia, and hypertension.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mnemonic 'CAUTION' is used to teach clients about the warning signs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Diabetes mellitus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Tuberculosis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CAUTION lists cancer warning signs: Change in bowel/bladder habits, A sore that does not heal, Unusual bleeding, Thickening/lump, Indigestion, Obvious change in a wart/mole, Nagging cough.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Intravenous thrombolytic therapy (alteplase) for acute ischemic stroke should ideally be initiated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 days of symptom onset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3-4.5 hours of symptom onset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 of symptom onset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minutes of symptom onset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Alteplase must be given within 3-4.5 hours of stroke onset after ruling out hemorrhage by CT; 'time is brain' - later administration increases bleeding risk.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First-line management of ascites in a client with cirrhosis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Immediate large-volume paracentesis in all cases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Sodium restriction and spironolactone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High protein supplements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High sodium diet and blood transfusion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Sodium restriction with a potassium-sparing diuretic (spironolactone) is first-line for ascites; therapeutic paracentesis is reserved for tense, refractory ascites.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intervention should be AVOIDED in a client with deep vein thrombosis of the leg?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Administering anticoagulant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Massaging the affected calf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Elevating the affected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Applying graduated compression stockings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Massaging the affected calf can dislodge the clot and cause fatal pulmonary embolism; elevate the leg and avoid all massage and vigorous activity.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Pulse deficit is determined by counting the apical and radial pulses: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during inspiration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at night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One after the other by the same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Simultaneously by two nurses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Pulse deficit is the difference between apical and radial pulse rates, counted simultaneously by two nurses for a full minute; it occurs in atrial fibrillation.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width of the blood pressure cuff should be approximately what percentage of the arm circumference?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80%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cuff that is 40% of the arm circumference (and 80% of the arm length) gives accurate readings; too small a cuff falsely raises the reading.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Cheyne-Stokes respiration is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Sighing respirations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Crescendo-decrescendo breathing with periods of apnea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Deep, rapid, continuous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Irregular breathing with long pauses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Cheyne-Stokes shows a gradual increase (crescendo) then decrease (decrescendo) in depth with brief apneic periods, seen in heart failure and brain injury.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Kussmaul's respiration, deep and rapid breathing, is typically seen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Emphysema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Diabetic ketoacidosis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Opioid overdose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Kussmaul breathing is the body's attempt to blow off carbon dioxide to compensate for metabolic acidosis, classically in diabetic ketoacidosis.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safe temperature of a hot water bag applied to an adult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90-100 degrees 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160 degrees F and above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140-150 degrees F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110-120 degrees F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Hot water bags are filled to 110-120 degrees F (43-49 degrees C) for adults and are always wrapped in a cover to prevent burns; lower for children and unconscious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acronym 'RACE' for fire safety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Remove, Activate, Contain, Extinguish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Rescue, Alarm, Confine, Extinguish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Rescue, Assess, Cover, Evacuate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Run, Alarm, Call, Escape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RACE guides fire response: Rescue clients in immediate danger, Alarm (activate the alarm), Confine the fire by closing doors, and Extinguish if possible.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using a fire extinguisher, the acronym 'PASS' stands for: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Press, Aim, Squeeze, Spray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Pull, Aim, Squeeze, Sweep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Pull, Activate, Squeeze, Stop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Point, Aim, Shoot, Sweep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PASS: Pull the pin, Aim at the base of the fire, Squeeze the handle, and Sweep side to side.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Stage 1 pressure injury is best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open wound with exposed bone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Intact skin with non-blanchable redness over a bony prominence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superficial blister that has ruptured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Full-thickness skin loss with visible fat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Stage 1 pressure injury is localized non-blanchable erythema over intact skin, a warning sign that precedes skin loss; it may feel warmer or firmer than surrounding skin.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bedridden client should be repositioned at least every: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Repositioning every 2 hours relieves prolonged pressure over bony prominences and is the cornerstone of pressure injury prevention.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is the priority intervention to prevent falls in a hospitalized elderly client?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Keep the room darkened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Raise all four side rails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Encourage the client to walk unassisted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 the bed in the lowest position with the call light within reach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 bed position, call light within reach, nonskid footwear, and hourly rounding reduce fall risk; raised side rails may actually increase falls in confused clients.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administering digoxin, the nurse should hold the dose if the apical pulse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Irregular but above 90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Below 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Between 60 and 80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Above 100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Digoxin slows the heart; the apical pulse is counted for one full minute and the dose is held if it is below 60 bpm in adults (below 90-110 in infants/children).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Client teaching for sublingual nitroglycerin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it only with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Chew the tablet for faster action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Swallow the tablet with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 down, place one tablet under the tongue, and repeat every 5 minutes up to 3 doses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Nitroglycerin is placed sublingually (never chewed/swallowed); the client sits, takes up to 3 tablets 5 minutes apart, and seeks emergency care if pain persists beyond 15 minutes.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insulin injection site provides the FASTEST absorption?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Abdomen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Buttock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Upper arm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Thigh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abdomen gives the fastest and most consistent insulin absorption, followed by the upper arm, thigh, and buttock; sites are rotated to prevent lipohypertrophy.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Unopened vials of insulin should be stored: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the freezer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bedside table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the refrigerator at 2-8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a warm cupboard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Unopened insulin is refrigerated at 2-8 degrees C (never frozen); the vial in use may be kept at room temperature for about 28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statement about intravenous potassium replacement is correct?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 should always be given undiluted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is safe to infuse into a peripheral line without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 must be diluted and given slowly with cardiac monitoring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may be given as a rapid IV push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IV potassium is never given as a bolus; it is diluted (maximum about 40 mEq/L peripherally) and infused slowly to prevent fatal cardiac arrhythmias, with urine output monitored.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Corticosteroid therapy should be discontinued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Gradually tapering the dose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Doubling the dose first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Switching to another class abruptly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Stopping the drug abruptly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Abrupt withdrawal of steroids can cause adrenal insufficiency and crisis; doses are tapered gradually to allow the adrenal gland to resume cortisol production.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taking a monoamine oxidase inhibitor (MAOI) should avoid: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Green leafy vegetables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Aged cheese and fermented foods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Citrus fruits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Whole grains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MAOIs block tyramine breakdown; tyramine-rich foods (aged cheese, cured meats, fermented foods, red wine) can cause a hypertensive crisis and must be avoided.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serious adverse effect requires regular blood monitoring in a client taking clozapine?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Agranulocytosis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Renal failure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Hepatitis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Hyperthyroidism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Clozapine can cause potentially fatal agranulocytosis; the white blood cell count is monitored weekly for the first 6 months and every 2 weeks thereafter.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laboratory value used to monitor the effectiveness of heparin therapy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Platelet count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International normalized ratio (INR)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Activated partial thromboplastin time (aPTT)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Prothrombin time (PT)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Heparin is monitored by the aPTT (therapeutic target 1.5-2.5 times control); warfarin is monitored by PT/INR.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obstetrics, 'station 0' means the fetal presenting part is at the level of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Pelvic outlet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Ischial spines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Sacral promontory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Symphysis pubis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Station is measured in centimetres above (-) or below (+) the ischial spines; station 0 indicates engagement at the level of the ischial spines.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baseline fetal heart rate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180-200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80-100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110-160 beats per minute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160-180 beats per minute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normal baseline FHR is 110-160 bpm; bradycardia below 110 and tachycardia above 160 require evaluation of the cause.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Braxton Hicks contractions are characterized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Contractions that rupture the membranes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Regular, painful, and progressively stronger contractions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Irregular, painless contractions that do not cause cervical dilatation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Contractions accompanied by vaginal bleeding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Braxton Hicks are intermittent, painless 'practice' contractions that do not dilate the cervix and are often relieved by walking or position 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diagnosis of pre-eclampsia requires, after 20 weeks of gestation: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Edema of the feet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Hypertension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Hypertension (BP 140/90 or more) with proteinuria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Weight gain of more than 5 kg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Pre-eclampsia is new-onset hypertension (140/90 mmHg or higher) with proteinuria after 20 weeks; edema is no longer part of the diagnostic criteria.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sign of magnesium sulfate toxicity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Loss of deep tendon reflexes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Cardiac arrest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arrest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Magnesium toxicity follows a sequence: loss of deep tendon reflexes (at about 8-10 mEq/L), then respiratory depression, then cardiac arrest; calcium gluconate is the antidote.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Perineal care after delivery should be performed: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any direction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after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From back to front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From front (pubis) to back (anus)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perineum is always cleaned front to back to prevent contaminating the urethra and vagina with anal organisms, reducing the risk of infection.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duration of exclusive breastfeeding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WHO recommends exclusive breastfeeding for the first 6 months, with complementary feeding starting at 6 months and continued breastfeeding up to 2 years or beyond.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nonstress test (NST) is considered REACTIVE (reassuring) when: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Late decelerations are present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fetal heart accelerations occur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least 2 fetal heart rate accelerations are seen in 20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fetal heart rate is below 100 bpm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 reactive NST shows at least two FHR accelerations of 15 bpm above baseline lasting 15 seconds within 20 minutes, indicating a healthy, non-hypoxic fetus.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infant normally achieves sitting without support by the age of: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6-8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2-3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10-11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Gross motor milestones: head control 3-4 months, sits without support 6-8 months, stands with support 9-10 months, and walks independently by 12-15 months.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anterior fontanelle of a normal infant closes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2-3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24-30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12-18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6-8 months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anterior fontanelle closes between 12 and 18 months; the posterior fontanelle closes by 2-3 months. Delayed closure may indicate rickets or hydrocephalus.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umbilical cord contains: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One artery and one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One artery and two veins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Two arteries and one vein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Two arteries and two veins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umbilical cord normally contains two umbilical arteries and one umbilical vein; a single artery may be associated with congenital anomalies.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Physiological jaundice of the newborn typically appears: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Within the first 24 hours of life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After the first 24 hours, peaking at 3-5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 one month of 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the first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Physiological jaundice appears after 24 hours, peaks at 3-5 days, and resolves by day 7-10; jaundice within 24 hours is pathological and must be investigated.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Nursing care of an infant under phototherapy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Placing the infant in direct sunlight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Dressing the infant in heavy clothing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Covering the eyes and genitals, and increasing fluid intake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Keeping the infant uncovered and without fluids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During phototherapy the infant's eyes and genitals are protected, temperature is monitored, and fluids are increased to replace losses from loose stools and insensible loss.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Febrile seizures most commonly occur in children aged: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to 18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Newborn to 1 month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 to 12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months to 5 years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Simple febrile seizures are most common between 6 months and 5 years during a rapid rise in temperature, and generally carry an excellent prognosis.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baby weighing 2,200 g at birth is classified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Very low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Low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Extremely low birth weight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birth weight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Low birth weight is under 2,500 g; very low birth weight is under 1,500 g; extremely low birth weight is under 1,000 g. Normal birth weight is 2,500-4,000 g.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reduce the risk of sudden infant death syndrome (SIDS), infants should be placed to sleep: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their stomach (prone)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their side with soft bedding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 soft pillows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 their back (supine)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'Back to sleep' - placing infants supine on a firm mattress without soft toys or loose bedding reduces the risk of SIDS.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recommended storage temperature for vaccines in the cold chain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15-25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2-8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37 degrees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-20 degrees C for all vaccines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Most vaccines are stored at 2-8 degrees C in the cold chain; freeze-sensitive vaccines (DPT, TT, hepatitis B) must never be frozen, while OPV may be kept frozen.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Under the Indian Universal Immunization Programme, the DPT vaccine is scheduled 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at school entry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6, 10 and 14 weeks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9, 12 and 18 months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Birth, 6 weeks and 10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DPT (with OPV) is given at 6, 10 and 14 weeks of age, followed by a booster at 16-24 months and a second booster at 5-6 years (Td).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Accredited Social Health Activist (ASHA) primarily functions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link worker between the community and the health system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hospital-based specialist nurse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district health officer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pharmacist in the sub-centre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ASHA is a female community health volunteer (about one per 1,000 population) acting as the first contact and link between the community and the public health system.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Integrated Child Development Services (ICDS) scheme is delivered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Private clinics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Anganwadi centres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District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Medical colleges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ICDS, launched in 1975, is delivered through Anganwadi centres by Anganwadi workers, providing six services including supplementary nutrition, immunization, and health education.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Janani Suraksha Yojana (JSY) aims to reduce maternal and neonatal mortality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Building more medical colleges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Promoting home deliveries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Providing free medicines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Offering cash assistance for institutional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JSY is a conditional cash transfer scheme that encourages pregnant women, especially from low-income groups, to deliver in a health institution.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statement correctly distinguishes isolation from quarantine?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Isolation is used only for airborne diseases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Both are the same procedure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Isolation separates SICK persons; quarantine restricts EXPOSED persons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Quarantine applies only to animals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Isolation separates infected (sick) individuals to prevent spread; quarantine restricts the movement of healthy persons who were exposed, during the incubation period.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type of hallucination in schizophrenia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Olfactory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Gustatory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Visual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Auditory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Auditory hallucinations (hearing voices) are the most common type in schizophrenia and may command, criticize, or converse with the client.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panic attack typically reaches peak intensity within: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week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minutes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24 hours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Panic attacks peak within about 10 minutes and include palpitations, sweating, trembling, choking, chest pain, and a sense of impending doom.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first-line treatment for obsessive-compulsive disorder includes: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ECT as first-line therapy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SSRIs combined with exposure and response prevention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Benzodiazepines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Antipsychotics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SSRIs (e.g., fluoxetine, sertraline) combined with cognitive-behavioral therapy using exposure and response prevention is first-line for OCD.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earliest and most prominent symptom of Alzheimer's disease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Difficulty swallowing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Tremor at rest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Loss of short-term memory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Loss of vision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Alzheimer's typically begins with insidious short-term memory loss (forgetting recent events, misplacing objects) with progressive decline in language, judgment, and function.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appropriate nursing intervention for a client in the acute manic phase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Encouraging unlimited physical activity without supervision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Allowing unrestricted visitors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Placing the client in a highly stimulating group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Reducing environmental stimuli and setting firm, consistent limits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Manic clients are overstimulated and impulsive; a calm, low-stimulation environment with clear limits, structured activities, and adequate nutrition and sleep is essential.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normal total white blood cell count in adults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1,000-2,000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150,000-400,000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50,000-100,000 per mm3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4,000-11,000 per mm3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Normal total leukocyte count is 4,000-11,000 per mm3; 150,000-400,000 is the normal platelet count and 4.5-5.5 million the RBC count.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Cardiac output is calculated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Heart rate x stroke volume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Stroke volume x blood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Blood pressure x heart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Heart rate / stroke volume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Cardiac output = stroke volume x heart rate (about 5 L/min at rest); it represents the volume of blood pumped by the heart per minute.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functional unit of the kidney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Ureter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Nephron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Calyx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Glomerulus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nephron, comprising the glomerulus, Bowman's capsule, tubules, and collecting duct, is the structural and functional unit of the kidney.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Intrinsic factor, essential for vitamin B12 absorption, is secreted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Beta cells of the pancreas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Chief cells of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Parietal cells of the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Hepatocytes of the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Parietal (oxyntic) cells secrete hydrochloric acid and intrinsic factor; intrinsic factor deficiency leads to pernicious anemia.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Gram staining, gram-negative bacteria appear: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Colourless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Purple or violet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Pink or red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Gram-positive bacteria retain crystal violet and appear purple; gram-negative bacteria lose it during decolorization and take up safranin, appearing pink.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B virus is transmitted primarily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Mosquito bites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Parenteral, sexual, and vertical routes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Contaminated food and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Airborne droplets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Hepatitis B spreads through blood, sexual contact, and mother-to-child transmission; hepatitis A and E spread by the fecal-oral route.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common hospital-acquired (nosocomial) infection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Urinary tract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Surgical site 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Pneumonia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Bloodstream infection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Catheter-associated urinary tract infection (CAUTI) is the most common nosocomial infection; indwelling catheters are removed as soon as possible.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Iron deficiency anemia is characteristically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Normocytic normochromic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Microcytic hypochromic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Macrocytic hypochromic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Macrocytic normochromic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Iron deficiency produces microcytic (small) hypochromic (pale) red cells with low serum ferritin; megaloblastic anemias are macrocytic.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As per ICMR guidelines, the additional daily energy requirement during pregnancy is approximately: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350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800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 kcal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1,200 kcal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ICMR recommends an additional 350 kcal/day during pregnancy to support fetal growth and maternal tissue; lactation requires about 600 kcal/day extra.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measure of central tendency is LEAST affected by extreme (outlier) values?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Geometric mean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Median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Mean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median depends only on the middle value and is unaffected by extreme scores; the mean is pulled toward outliers.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hypothesis testing, the symbol 'H0' represents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Alternative hypothesis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Research question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Confidence interval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Null hypothesis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H0 is the null hypothesis (no difference or no effect); H1/Ha is the alternative hypothesis. Researchers aim to reject H0 with sufficient evidence.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Which nursing responsibility CANNOT be delegated to an unlicensed assistive personnel (UAP)?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Measuring vital signs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Feeding a stable client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Assisting with ambulation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Performing the initial nursing assessment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initial assessment, nursing judgment, teaching, and evaluation cannot be delegated to UAP; only selected tasks are delegated with the 5 rights of delegation.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triage during a mass casualty event, a client with a red tag requires: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Immediate life-saving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Delayed care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Comfort care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Red tag = immediate/emergent care; yellow = delayed (urgent but stable), green = minor/ambulatory, and black = deceased or expected to die despite care.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force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Joule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Pascal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Watt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Newton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Force is measured in newtons (N); 1 N is the force that gives a 1 kg mass an acceleration of 1 m/s2. Joule is energy, watt power, pascal pressure.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Ohm's law states that: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 = VI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 = I/R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 = 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 = VR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Ohm's law: voltage (V) = current (I) x resistance (R), where current is directly proportional to voltage and inversely proportional to resistance.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symbol of gold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Go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Gold is represented by 'Au' from its Latin name 'aurum'. 'Ag' is silver, 'Gd' is gadolinium, and 'Go' is not a valid symbol.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most abundant metal in the Earth's crust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Gold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Iron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Aluminium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Copper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Aluminium (about 8%) is the most abundant metal in the Earth's crust; oxygen (46.6%) is the most abundant element overall.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Water is often called the 'universal solvent'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Dissolves more substances than any other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Contains only hydrogen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the highest boiling point of all liquids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Never freezes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Water's polar nature allows it to dissolve a wider range of substances than most solvents, earning it the title 'universal solvent'.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Deficiency of iodine in the diet causes: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Night blindness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Anaemia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Goitre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Rickets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Iodine is needed to synthesize thyroid hormones; its deficiency causes goitre (enlarged thyroid) and hypothyroidism, hence the use of iodized salt.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Red blood cells are formed in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Spleen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Kidney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Bone marrow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Liver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Erythropoiesis occurs mainly in the red bone marrow of flat bones and vertebral bodies, stimulated by erythropoietin from the kidneys.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 unit of frequency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Decibel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Hertz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Ampere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Second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Frequency (cycles per second) is measured in hertz (Hz); 1 Hz = 1 cycle per second. Decibel measures sound intensity.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Light travels fastest through: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Water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Air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Glass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Vacuum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Light travels fastest in vacuum (about 3 x 10^8 m/s) and slows down in denser media such as water and glass due to refraction.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common salt (sodium chloride)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NaOH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Common salt is sodium chloride, NaCl. NaOH is caustic soda, Na2CO3 is soda ash, and KCl is potassium chloride.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President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S. Radhakrishnan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Dr. Rajendra Prasad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Zakir Husain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Jawaharlal Nehru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Dr. Rajendra Prasad served as the first President of India (1950-1962). The first Vice-President was Dr. S. Radhakrishnan.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Anthem 'Jana Gana Mana' was composed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Subhas Chandra Bose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Bankim Chandra Chattopadhyay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Sarojini Naidu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'Jana Gana Mana' was written and composed by Rabindranath Tagore and adopted as the National Anthem on 24 January 1950.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Song 'Vande Mataram' was written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Bhagat Singh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Mahatma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Rabindranath Tagore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Bankim Chandra Chattopadhyay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'Vande Mataram', from the novel 'Anandamath', was written by Bankim Chandra Chattopadhyay; it holds equal status with the National Anthem.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Currency notes in India are issued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Reserve Bank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NITI Aayog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State Bank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Ministry of Finance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RBI has the sole authority to issue currency notes under the RBI Act; one-rupee notes and coins are issued by the Ministry of Finance.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Constitution of India came into force on: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26 January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15 August 1947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26 November 1949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 October 1950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Constitution was adopted on 26 November 1949 and came into force on 26 January 1950, celebrated as Republic 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Prime Minister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Lal Bahadur Shastri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Jawaharlal Nehru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Sardar Vallabhbhai Patel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Indira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Jawaharlal Nehru was the first Prime Minister of independent India (1947-1964); Sardar Patel was the first Deputy Prime Minister and Home Minister.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headquarters of the Indian Space Research Organisation (ISRO) is located 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Thiruvananthapuram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Bengaluru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Hyderabad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Mumbai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ISRO is headquartered in Bengaluru; its launch sites are at Sriharikota (SHAR, Andhra Pradesh) and Thiruvananthapuram (VSSC).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longest river in the world is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Amazon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Yangtze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Mississippi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Nile (about 6,650 km) is generally considered the longest river in the world, followed by the Amazon.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highest mountain peak in the world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Kangchenjunga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Nanga Parbat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Mount Everest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Mount Everest (8,849 m) in the Himalayas is the highest peak above sea level; K2 is the second highest.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Who was the first woman Prime Minister of India?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Sushma Swaraj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Sarojini Naidu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Indira Gandhi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Pratibha Patil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Indira Gandhi was the first (and only) woman Prime Minister of India, serving 1966-1977 and 1980-1984. Pratibha Patil was the first woman President.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10, 20, 30 and 40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Average = (10 + 20 + 30 + 40)/4 = 100/4 = 25.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compound interest on Rs 10,000 at 10% per annum for 2 years, compounded annually,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1,210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2,500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2,100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Amount = 10000 x (1.10)^2 = Rs 12,100. CI = 12,100 - 10,000 = Rs 2,100.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An article is bought for Rs 800 and sold for Rs 960. The profit percentage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16%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Profit = 960 - 800 = Rs 160. Profit % = (160/800) x 100 = 20%.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value of 15 + 6 x 3 - 24 / 4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27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By BODMAS: 15 + 18 - 6 = 27.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12 men can build a wall in 8 days, in how many days will 6 men build the same wall?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16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12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Men and days are inversely proportional: 12 x 8 = 6 x D, so D = 96/6 = 16 days.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odd one out: 3, 5, 11, 14, 17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14 is the only composite (non-prime) number; 3, 5, 11 and 17 are all prime numbers.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letter in the series: A, C, F, J, O, 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The gaps increase by one each step: +2, +3, +4, +5, so the next gap is +6: O + 6 = U.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the day before yesterday was Sunday, what day will be the day after tomorrow?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Tuesday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Thursday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Friday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Wednesday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Day before yesterday = Sunday, so today = Tuesday and the day after tomorrow = Thursday.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How many numbers from 1 to 100 are divisible by 3 or 5?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53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Divisible by 3: 33, by 5: 20, by both (15): 6. Total = 33 + 20 - 6 = 47.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Statements: All apples are fruits. Some fruits are oranges. Conclusions: I. Some apples are oranges. II. Some oranges are fruits. Which conclusion(s) follow(s)?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Neither I nor II follows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II follows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I follows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Both I and II follow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Conclusion II restates the second premise and is valid. Conclusion I does not follow - the 'fruits that are oranges' may have no overlap with apples.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