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indicator of fluid retention in a client with heart failure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Pulse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Skin turgor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Daily weight measurement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daily weight gain of about 1 kg approximates 1 L of retained fluid and is the most sensitive indicator of fluid retention; weight is measured at the same time daily.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target HbA1c level recommended for most adults with diabetes mellitus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Below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Below 12%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Below 7%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Above 9%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HbA1c below 7% reflects good average glucose control over the past 2-3 months and reduces the risk of microvascular complications.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classic '5 Ps' of compartment syndrome include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 out of proportion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Pyrexia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Pallor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Paresis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5 Ps are pain, pallor, paresthesia, pulselessness, and paralysis; pyrexia (fever) is not among them. Compartment syndrome is a surgical emergency.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left-hemisphere stroke is most likely to have: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Aphasia (speech and language problems)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Hemianopsia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deficits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Left-sided neglect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left hemisphere controls language; left-hemisphere strokes cause aphasia and right-sided weakness, while right-hemisphere strokes cause left neglect.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intervention should be AVOIDED in a client with known esophageal varices?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Insertion of a nasogastric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Administering lactulose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straining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Soft diet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NG tube insertion can traumatize and rupture esophageal varices, causing life-threatening hemorrhage; straining and aspirin are also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first-line short-course regimen for drug-sensitive pulmonary tuberculosis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Fluconazole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Azithromycin and doxycycline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Isoniazid, rifampicin, pyrazinamide, and ethambutol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Streptomycin and penicillin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intensive phase uses 4 drugs - isoniazid (H), rifampicin (R), pyrazinamide (Z), ethambutol (E) - for 2 months, then HR for 4 months under DOTS/NTEP.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Dietary teaching for a client with gout should emphasize avoiding: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Purine-rich foods such as organ meats and red meat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Plenty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Citrus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Whole grains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Purines raise uric acid; organ meats, red meat, shellfish, and alcohol (especially beer) are restricted, while fluids and low-fat dairy are encouraged.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Cold intolerance, weight gain, lethargy, and bradycardia suggest: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Cushing's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Diabetes insipidus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Hypothyroidism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Hyperthyroidism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Hypothyroidism slows metabolism, causing cold intolerance, weight gain, constipation, lethargy, and bradycardia; hyperthyroidism produces the opposite picture.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chest tube connected to an underwater seal drainage system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Never be connected to suction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tube below the level of the chest with the drainage bottle below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 clamped continuously for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Have the collection chamber above chest level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drainage bottle stays below chest level and the tube is kept unclamped to allow drainage and re-expansion; bubbling in the water seal chamber indicates an air leak.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develops sudden severe abdominal pain, board-like rigidity, and absent bowel sounds. These signs suggest: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Gastritis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Hiatus hernia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Peritonitis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Peritonitis causes diffuse abdominal rigidity ('board-like'), severe pain, absent bowel sounds, and fever; the client is kept NPO with IV fluids pending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Eradication therapy for peptic ulcer disease caused by Helicobacter pylori typically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Steroids for one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PPI plus two antibiotics for 14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Aspirin and paracetamol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Triple therapy - PPI (e.g., omeprazole), amoxicillin or metronidazole, and clarithromycin - for 10-14 days eradicates H. pylori and heals the ulcer.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oral mercury thermometer should be left in place for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 seconds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Mercury thermometers remain in place about 2-3 minutes for an accurate reading; electronic thermometers give readings in seconds.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Rectal temperature measurement is contraindicated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client after rectal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infant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client with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unconscious adult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Rectal thermometry is avoided after rectal/anal surgery, in rectal bleeding, diarrhea, and some cardiac conditions (vagal stimulation); axillary/oral routes are used instead.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apical pulse is best auscultated at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Fifth intercostal space at the left midclavicular 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Second right intercostal space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Carotid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Wrist radial artery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apical impulse is located at the fifth intercostal space, left midclavicular line (apex of the heart); it is counted for one full minute in children and irregular rhythms.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diastolic blood pressure corresponds to which Korotkoff phase?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Phase II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Phase III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Phase I (first sound)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Phase V (disappearance of sounds)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Systolic pressure is the first Korotkoff sound (phase I) and diastolic is the disappearance of sounds (phase V); muffling (phase IV) is used in some children.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measuring respirations,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Count only while the client is asleep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Count for 30 seconds, or one full minute if irregular, while the hand stays on the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Count for 15 seconds and multiply by 4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count without telling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Respirations are counted for 30 seconds (full minute if irregular) while pretending to take the pulse so the client breathes naturally.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obtain an accurate sputum specimen for culture, it is best collected: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Immediately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From saliva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bedtime after brushing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Early morning, after rinsing the mouth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Early-morning deep sputum after mouth rinsing (not saliva) gives the best yield for TB and culture studies; it is collected before food.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 24-hour urine collection is started,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Collect only night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Discard the first voided urine, then collect all urine including the last void of the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Collect a random midstream sample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first voided urine, discard the last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collection starts by discarding the first void (bladder is 'flushed'), then all urine is collected for 24 hours including the final void at the end time.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24-hour urine output of a healthy adult is normally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6,000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1,500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4,000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urine output is about 1,500 mL/day (0.5-1 mL/kg/hour); below 400 mL/24 h is oliguria and below 100 mL/24 h is anuria.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specimen should be collected in a sterile container by the nurse directly from the client?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Stool for ova and parasites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Catheterized urine for culture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sample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Saliva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Urine for culture is collected aseptically (clean-catch midstream or catheterized) into a sterile container to avoid contamination.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Hand hygiene with soap and water should be performed INSTEAD of alcohol-based hand rub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Hands appear clean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Wearing gloves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client is asleep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Hands are visibly soiled or after using the toilet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Alcohol rubs are ineffective on visibly dirty hands and against spore-forming organisms (C. difficile); soap and water are used when hands are visibly soiled.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Sublingual nitroglycerin tablets should be stored: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a clear, warm container in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the refrigerator with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the original dark container and replaced every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Next to the stove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Nitroglycerin degrades with light, heat, and moisture; it is kept in its dark original bottle and replaced every 6 months, and handled only with dry hands.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should be taught to report which sign of overdose?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Dry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Bleeding gums, blood in urine, or easy bruising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Bleeding gums, epistaxis, hematuria, melena, and easy bruising indicate excessive anticoagulation; the INR is checked and vitamin K may be given.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Regular (short-acting) insulin peaks approximately how long after subcutaneous injection?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8-12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2-4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Regular insulin peaks at 2-4 hours, so the client must eat to prevent hypoglycemia at that time; rapid-acting analogues (lispro/aspart) peak in 1-2 hours.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adverse effect of morphine requires the antidote naloxone to be kept ready?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Diarrhea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Hypothermia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Respiratory depression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Opioids cause dose-dependent respiratory depression; naloxone (Narcan) reverses it. Other side effects include constipation, nausea, and sedation.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dry, persistent cough is a common side effect of which antihypertensive drug class?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ACE inhibitors (e.g., enalapril)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Thiazide diuretics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Calcium channel blockers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Beta-blockers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ACE inhibitors block bradykinin breakdown, causing a dry cough in about 10-20% of clients; ARBs (losartan) are a common alternative without the cough.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statin should report which symptom promptly?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Muscle pain or weakness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Hiccups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Blurred vision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Myopathy and rhabdomyolysis are serious statin adverse effects; muscle pain with dark urine requires immediate evaluation of creatine kinase and stopping the drug.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Antacids should be taken: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at bedtime with all medications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with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the same time as every other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least 1-2 hours apart from other oral drugs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Antacids alter drug absorption; they are given 1-2 hours apart from other oral medications to avoid reducing their effectiveness.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Isoniazid and rifampicin, used in tuberculosis, require monitoring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Liver function tests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Renal biopsy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Thyroid function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Both drugs are hepatotoxic; LFTs are monitored and the client reports jaundice, dark urine, or fatigue. Ethambutol additionally needs visual (optic neuritis) monitoring.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Ondansetron is primarily used to treat: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Insomnia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Nausea and vomiting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Ondansetron, a 5-HT3 antagonist, prevents chemotherapy- and post-operative nausea and vomiting; it may cause headache and constipation.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Naegele's rule, the expected date of delivery is calculated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Adding 9 months and 7 days to the first day of the last menstrual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Adding 40 weeks to the last day of menstruation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Subtracting 7 days from the LMP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Adding 6 months to conception date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EDD = first day of LMP + 9 months + 7 days (or +280 days); it assumes a regular 28-day cycle.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gynaecoid pelvis is considered most favorable for vaginal delivery because of 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Oval anteroposterior inlet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Heart-shaped inlet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Narrow subpubic 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Round inlet and adequate outlet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gynaecoid pelvis has a round, spacious inlet and adequate midpelvis and outlet - the most favorable shape; android and platypelloid shapes are unfavorable.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volume of amniotic fluid at term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2,500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5,000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800-1,000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Amniotic fluid averages 800-1,000 mL at term; less than 500 mL is oligohydramnios and more than 2,000 mL is polyhydramnios.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frank breech presentation, the fetal: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Head presents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Shoulder presents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Feet present below the buttocks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Buttocks present with hips flexed and knees extended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frank breech, the buttocks present with hips flexed and knees extended (feet near the face); complete breech has both hips and knees flexed.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type of episiotomy is associated with a higher risk of injury to the anal sphincter?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Mediolateral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None carries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Lateral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Median (midline)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Median episiotomy heals well but extends into the anal sphincter and rectum more often; mediolateral episiotomy has more blood loss but less extension.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copper intrauterine device (Cu-T 380A) provides contraception for up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Cu-T 380A is effective for 10 years; it works mainly by a spermicidal copper effect and is a reversible method with very high effectiveness.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engorged, painful breasts in a breastfeeding mother, the nurse advises: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Stopping breastfeeding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Tight binding of the breasts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Restricting fluids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Frequent feeding with warm compresses before 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Frequent emptying with warm compresses before feeding (and cold after) relieves engorgement; stopping feeding worsens stasis and mastitis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Uterine contractions should be assessed for which quality during labour?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fetal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Frequency, duration, and intensity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frequency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the mother's pain score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Contractions are evaluated for frequency (start to start), duration, and intensity; relaxation between contractions ensures placental perfusion.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contraindication to routine immunization of a child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illness with high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previous mild local reaction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cold without fever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febrile illness is a contraindication to vaccination; minor illness, malnutrition, and mild local reactions are NOT contraindications.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child with SOME dehydration, the WHO plan B recommends ORS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mL/kg over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200 mL/kg over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75 mL/kg over 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500 mL bolus IV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 B: 75 mL/kg ORS over 4 hours for some dehydration, with reassessment; plan A is home maintenance and plan C is IV fluid for severe dehydration.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Care of the newborn's umbilical cord stump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Applying oil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Pulling it off 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Keeping it dry and clean, folding the diaper below the stump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Bathing the baby in a tub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stump is kept dry and clean, and the diaper is folded below it; it usually separates in 5-15 days. Signs of infection (redness, discharge) are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Primary (deciduous) teeth typically begin to erupt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6-8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primary teeth (lower central incisors) usually erupt at 6-8 months, with all 20 primary teeth by about 2.5-3 years.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type of cerebral palsy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Mixed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Dyskinetic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Spastic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Ataxic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Spastic cerebral palsy is most common (about 70-80%), with increased tone, scissoring, and contractures; ataxic and dyskinetic forms are less common.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'Sunset sign' (downward displacement of the eyes) in an infant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Hydrocephalus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hydrocephalus, raised ICP causes the 'sunset sign', a widened head with bulging fontanelles; VP shunt or ETV is the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drug commonly used for attention deficit hyperactivity disorder (ADHD)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Methylphenidate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Amoxicillin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Paracetamol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Methylphenidate, a CNS stimulant, is first-line pharmacotherapy for ADHD, combined with behavioral therapy and structured routines.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 circumference of a newborn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33-35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Average newborn head circumference is 33-35 cm, chest about 32-33 cm, and length about 50 cm; the head is usually 2 cm larger than the chest at birth.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Primary Health Centre in the plains covers a population of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1,00,000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1,000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One PHC covers about 30,000 people in the plains (20,000 in hilly/tribal areas), with a medical officer and is the first referral unit for sub-centres.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National TB Elimination Programme (NTEP), tuberculosis treatment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Restricted to adults above 60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Given only for 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Available only in private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Free and supervised as directly observed therapy (DOTS)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NTEP (formerly RNTCP) provides free, standardized, supervised anti-TB treatment nationwide, with DOTS support and daily fixed-dose combinations.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Indoor residual spraying (IRS) is a vector control measure primarily targeted against: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Houseflies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Anopheles mosquitoes (malaria)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IRS applies insecticide to indoor walls where resting Anopheles mosquitoes are killed, interrupting malaria transmission.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Mission Indradhanush is a national campaign aimed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Full immunization coverage of children and pregnant women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Providing free textbooks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Eradicating mosquitoes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Building rural roads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Mission Indradhanush (launched 2014) intensifies immunization to reach zero-dose and partially vaccinated children and pregnant women in hard-to-reach areas.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WHO recommended minimum water requirement per person per day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2-5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500 litres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suggests about 20 litres per person per day for basic domestic needs, with additional water for hygiene and food production.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nutritional deficiency disease in India among children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Scurvy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Pellagra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Rickets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Protein-energy malnutrition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Protein-energy malnutrition (kwashiorkor and marasmus) and undernutrition are the most prevalent nutritional problems, addressed through ICDS and nutritional rehabilitation.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Generalized anxiety disorder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Fear of a single object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Sudden panic attacks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Excessive, uncontrollable worry about many events lasting at least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Lack of any anxiety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GAD involves persistent, excessive worry across multiple domains for 6 months or more, with restlessness, fatigue, poor concentration, and sleep disturbance.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behavioral therapy of choice for a specific phobia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Milieu therapy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Systematic desensitization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Electroconvulsive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Psychosurgery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Systematic desensitization gradually exposes the client to the feared stimulus paired with relaxation, extinguishing the phobic response.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is an example of a therapeutic communication technique?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Asking 'why' questions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Using open-ended questions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Changing the subject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Giving false reassurance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Open-ended questions, reflection, restating, silence, and active listening are therapeutic; 'why' questions, false reassurance, and changing topics are non-therapeutic.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Milieu therapy refers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Surgical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Home quarantine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Drug therapy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structured therapeutic environment where daily activities are part of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Milieu therapy uses the entire hospital environment - routines, group activities, and interpersonal interactions - as a therapeutic tool to promote adaptive behaviour.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Inability to form NEW memories after a head injury is termed: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Dementia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Anterograde amnesia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Confabulation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Retrograde amnesia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Anterograde amnesia is failure to remember events after the injury; retrograde amnesia is loss of memory before the event. Confabulation is filling gaps with false memories.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adult human skeleton consists of how many bones?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Adults have 206 bones; newborns have about 300, some of which fuse during growth (e.g., sacrum, skull).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longest bone in the human body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Femur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Fibula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Humerus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femur (thigh bone) is the longest and strongest bone; the smallest bone is the stapes in the middle 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pH of arterial blood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7.35-7.45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7.60-7.80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7.00-7.10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6.50-6.80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arterial pH is 7.35-7.45; below 7.35 is acidemia and above 7.45 is alkalemia, maintained by buffers, lungs, and kidneys.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platelet count in adults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4,000-11,000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500-1,000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4.5-5.5 million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150,000-400,000 per mm3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Platelets (thrombocytes) number 150,000-400,000 per mm3; counts below 50,000 increase bleeding risk and below 20,000 risk spontaneous bleeding.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Acid-fast bacilli (AFB) such as Mycobacterium tuberculosis are demonstrated by which stain?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Ziehl-Neelsen stain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Giemsa stain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Gram stain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India ink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Ziehl-Neelsen (ZN) staining identifies acid-fast bacilli by their pink colour after acid-alcohol decolorization; it is the basis of sputum microscopy in TB.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Immunization with a vaccine provides: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Innate immunity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Artificial active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Natural active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Natural passive immunity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Vaccines stimulate the person's own immune system to produce antibodies and memory cells - artificial ACTIVE immunity; injected antibodies give passive immunity.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'window period' in HIV infection refers to the time: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From exposure to the first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Between exposure and the appearance of detectable antibodies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From infection to death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From symptom onset to recovery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During the window period (about 2-12 weeks) antibodies are not yet detectable despite infection; antigen (p24) and NAT tests shorten this period.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Pellagra, characterized by dermatitis, diarrhea, and dementia, results from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Folic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Niacin (vitamin B3)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Niacin deficiency causes the '3 Ds' - dermatitis, diarrhea, dementia; it was common where maize was a staple without niacin fortification.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Rickets in children is caused by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D deficiency impairs calcium absorption, causing rickets in children (bowed legs, craniotabes) and osteomalacia in adults.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Rejecting a true null hypothesis (finding a difference when none exists)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Measurement error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Type I error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Type II error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Sampling error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Type I error (alpha) is rejecting a true H0 - a false positive; Type II error (beta) is failing to reject a false H0 - a false negative.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sampling method gives every member of the population an equal chance of selection?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Simple random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Convenience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Purposive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Snowball sampling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Simple random sampling uses a lottery or random numbers so each element has an equal, independent probability of selection, reducing selection bias.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'five rights' of delegation include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Right task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circumstance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person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Right salary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five rights are the right task, right circumstance, right person, right direction/communication, and right supervision/evaluation.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ABC time management, 'A' tasks are those that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Delegable to everyone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High priority and must be done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 priority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Optional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ABC analysis: A tasks are urgent and important (done first), B tasks are important but less urgent, and C tasks are nice-to-do or delegable.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temperature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Fahrenheit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Joule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Kelvin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Celsius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SI unit of temperature is the kelvin (K); 0 degrees C = 273.15 K. Celsius and Fahrenheit are practical but not SI units.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water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H2O2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H2O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Water is H2O - two hydrogen atoms bonded to one oxygen atom; H2O2 is hydrogen peroxide and CO2 is carbon dioxide.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gas released during photosynthesis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Hydrogen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Plants absorb carbon dioxide and water, using sunlight to make glucose and release oxygen as a by-product (6CO2 + 6H2O -&gt; C6H12O6 + 6O2).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atomic number of oxygen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Oxygen has atomic number 8 (8 protons) and a mass number of about 16 (8 protons + 8 neutrons).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cell wall of a plant cell is mainly made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Chitin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Cellulose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Lipid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Plant cell walls are composed of cellulose, giving rigidity; chitin forms fungal cell walls and insect exoskeletons.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force of gravity acting on an object of mass 'm' is calculated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 = m/g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 = m x 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 = m + 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 = mg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Weight (gravitational force) = mass x acceleration due to gravity, F = mg, measured in newtons.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Sound intensity (loudness) is measured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Newtons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Decibels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Loudness is measured in decibels (dB); frequencies are in hertz. Prolonged exposure above 85 dB can damage hearing.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Fish breathe with the help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Tracheae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Lungs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Fish extract dissolved oxygen from water using gills; insects use tracheae and mammals use lungs.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Hydrochloric acid is secreted in which part of the digestive system?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Large intestine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Parietal cells of the stomach secrete hydrochloric acid, which activates pepsin and kills ingested microorganisms.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metal is the BEST conductor of electricity?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Silver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Copper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Aluminium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Silver is the best electrical conductor; copper is used more often in wiring because it is cheaper and nearly as conductive.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capital of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Chennai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Mumbai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New Delhi, within the National Capital Territory of Delhi, is the capital of India since 1911 (officially inaugurated 1931).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National Flag has how many spokes in the Ashoka Chakra?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navy-blue Ashoka Chakra in the centre of the flag has 24 spokes, representing the wheel of law (dharma chakra).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Governor-General of independent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Lord Mountbatten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Warren Hastings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Lord Canning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C. Rajagopalachari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Lord Mountbatten was the last Viceroy and first Governor-General of independent India (1947-48); C. Rajagopalachari was the first and only Indian Governor-General.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Election Commission of India is established under which Article of the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51A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356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Article 324 vests the superintendence, direction, and control of elections in the Election Commission of India.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Taj Mahal was built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Akbar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Aurangzeb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Humayun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Shah Jahan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Mughal emperor Shah Jahan built the Taj Mahal in Agra (1632-1653) in memory of Mumtaz Mahal; it is a UNESCO World Heritage Site.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Golden Temple (Harmandir Sahib)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Ludhiana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Patiala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Amritsar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Golden Temple, the holiest shrine of Sikhism, is in Amritsar, Punjab, built by Guru Arjan Dev on a site chosen by Guru Amar Das.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Qutub Minar, the tallest brick minaret in the world,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Agra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Lucknow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Qutub Minar (about 73 m) in Delhi was begun by Qutb-ud-din Aibak and completed by Iltutmish; it is a UNESCO World Heritage Site.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recipients of the Bharat Ratna (1954) included: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Jawaharlal Nehru and Indira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C. Rajagopalachari, Sarvepalli Radhakrishnan, and C.V. Raman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Mother Teresa and Nelson Mandela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Bharat Ratna was first awarded in 1954 to C. Rajagopalachari, S. Radhakrishnan, and C.V. Raman.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India Gate, a war memorial,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New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 Gate, designed by Edwin Lutyens, stands in New Delhi as a memorial to Indian soldiers who died in World War I and the Afghan War.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official language of the Union of India per the Constitution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Hindi in Devanagari script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Sanskrit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Urdu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English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Article 343 declares Hindi in Devanagari script the official language, with English continuing for official purposes; 22 languages are listed in the Eighth Schedule.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20% of 250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(20/100) x 250 = 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of 24 and 36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24 = 2^3 x 3, 36 = 2^2 x 3^2. HCF = 2^2 x 3 = 12.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the numbers 1 to 10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5.5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Sum of 1-10 = 55; average = 55/10 = 5.5.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car covers 60 km at a speed of 40 km/hr. The time taken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2.5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1.5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Time = distance/speed = 60/40 = 1.5 hours.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Two numbers are in the ratio 5 : 7 and their sum is 96. The larger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parts = 12; larger = 7/12 x 96 = 56.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1, 4, 9, 16, 25,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series is squares: 1^2, 2^2, 3^2, 4^2, 5^2, so the next is 6^2 = 36.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ROAD is written as 181514. How will CITY be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3102025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392025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392025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392205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Letters are coded by positions: R=18, O=15, A=1, D=4. CITY = C(3), I(9), T(20), Y(25) = 392025.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3 km towards North, turns left and walks 4 km, then turns left and walks 3 km. How far is he from the starting point and in which direction?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km West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3N + 4W + 3S he returns to his starting latitude, 4 km west of the start.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India's Independence Day, 15 August 1947, fell on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15 August 1947 was a Friday; the Constitution came into force on Thursday, 26 January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class of 40 students, 25 drink tea, 20 drink coffee, and 10 drink both. How many drink NEITHER tea nor coffee?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Tea or coffee = 25 + 20 - 10 = 35. Neither = 40 - 35 = 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