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Common adverse effects of the inhaled beta-2 agonist salbutamol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Hypotension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Tremors and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Bradycardia and dry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Beta-2 agonists stimulate the heart (beta-1) at higher doses, causing tremor, palpitations, and tachycardia; these are usually mild and transient.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therapeutic serum digoxin level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0.8-2.0 ng/mL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5-10 ng/mL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20-40 ng/mL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0.1-0.2 ng/mL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Therapeutic digoxin is about 0.8-2.0 ng/mL; toxicity occurs above 2.0-2.5 ng/mL with GI, visual, and cardiac (arrhythmia) symptoms.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should be taught about vitamin K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K replaces the INR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 increases warfarin effect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Sudden changes in vitamin K-rich foods can alter the INR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K must be completely avoided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K reverses warfarin; consistent intake of vitamin K foods (leafy greens) keeps the INR stable, while sudden increases/decrease alter anticoagulation.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anticoagulant is considered safe during pregnancy because it does not cross the placenta?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Rivaroxaban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Warfarin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Apixaban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Heparin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Heparin does not cross the placenta and is the anticoagulant of choice in pregnancy; warfarin is teratogenic and DOACs lack safety data.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Insulin aspart (NovoRapid) is a rapid-acting insulin with an onset of action of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2-4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10-15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Rapid-acting analogues (aspart, lispro, glulisine) act within 10-15 minutes, so they are given just before meals; regular insulin acts in 30-60 minutes.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minimize the gastrointestinal upset caused by metformin, the client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with meals and start at a low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it only once weekly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Crush and sniff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it on an empty stomach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Metformin commonly causes nausea/diarrhea; taking it with meals and titrating the dose gradually improves tolerance.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Glimepiride, a sulfonylurea, can cause which serious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Hyperglycemia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Sulfonylureas stimulate insulin release and can cause hypoglycemia, especially with missed meals, alcohol, or renal impairment; clients carry glucose.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Ciprofloxacin, a fluoroquinolone antibiotic, should be used with caution because it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Tendon rupture and QT prolongation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Fluoroquinolones carry risks of tendonitis/tendon rupture, QT prolongation, and CNS effects; they are avoided in children and pregnant women.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Azithromycin belongs to which antibiotic class?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Aminoglycoside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Tetracycline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Penicillin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Macrolide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Azithromycin is a macrolide (like erythromycin and clarithromycin), used for respiratory infections and atypical organisms; it may prolong the QT interval.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Tetracyclines such as doxycycline should be avoided in children under 8 years because they: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 hearing loss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 permanent tooth discoloration and affect bone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Cause only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Are ineffective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Tetracyclines bind to developing teeth and bones, causing permanent yellow-brown staining and growth effects; they are contraindicated in young children.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Pyridoxine (vitamin B6) is given along with isoniazid (INH)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hepatotoxicity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INH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Treat the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INH-induced peripheral neuropathy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INH depletes vitamin B6, causing peripheral neuropathy; pyridoxine 10-25 mg daily prevents it, especially in malnourished and diabetic clients.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anti-tubercular drug commonly causes hyperuricemia and joint pain?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Pyrazinamide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Ethambutol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Streptomycin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Isoniazid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Pyrazinamide inhibits uric acid excretion, causing hyperuricemia and gout-like arthralgia; it also causes hepatotoxicity, so LFTs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Carbimazole, used in hyperthyroidism, requires monitoring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Bradycardia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Agranulocytosis (sore throat, fever)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loss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Thionamides (carbimazole, PTU) can cause agranulocytosis; a sudden sore throat and fever mandate an urgent WBC count and drug cessation.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Dexamethasone is commonly used to reduce: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Cerebral edema and raised intracranial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Dexamethasone, a potent glucocorticoid, reduces vasogenic cerebral edema in brain tumours and meningitis; it also treats allergic and inflammatory conditions.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Allopurinol, used to prevent gout,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Blocking pain receptors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Inhibiting xanthine oxidase, reducing uric acid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Increasing uric acid excretion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Reducing inflammation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Allopurinol inhibits xanthine oxidase, lowering uric acid synthesis; it is started at a low dose to avoid precipitating an acute attack.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Alendronate (a bisphosphonate) should be taken: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Upright with a full glass of water, 30 minutes before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bedtime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Lying down with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other medicines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Bisphosphonates are taken on rising, upright, with plain water, and the client stays upright 30 minutes to prevent esophageal ulceration; avoid food, coffee, and calcium.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enhance iron absorption, ferrous sulfate is best taken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Tea or coffee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 and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 (ascorbic acid) or orange juice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reduces iron and enhances absorption; calcium, tannins (tea), and antacids inhibit absorption and are taken 2 hours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Haloperidol, a typical antipsychotic, most commonly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Photosensitivity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Extrapyramidal symptoms (EPS)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Agranulocytosis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High-potency typical antipsychotics like haloperidol cause EPS - acute dystonia, parkinsonism, akathisia - and tardive dyskinesia with long-term use.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Risperidone is classified as an: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Antidepressant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Atypical (second-generation) antipsychotic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Mood stabilizer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Typical antipsychotic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Risperidone, an atypical antipsychotic, treats schizophrenia and bipolar mania with fewer EPS but risks of hyperprolactinemia and metabolic effects.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atypical antipsychotic is most associated with significant weight gain and metabolic syndrome?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Aripiprazole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Olanzapine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Haloperidol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Fluphenazine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Olanzapine and clozapine cause the most weight gain, dyslipidemia, and glucose intolerance; weight, glucose, and lipids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long-term adverse effect of phenytoin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Gingival (gum) hyperplasia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loss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loss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Phenytoin causes gingival hyperplasia, hirsutism, folate deficiency, and osteomalacia with chronic use; good oral hygiene and regular dental care help.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Carbamazepine is the drug of choice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Trigeminal neuralgia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Carbamazepine is first-line for trigeminal neuralgia and is also an antiepileptic; it can cause blood dyscrasias and requires CBC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Midazolam is commonly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Procedural sedation and premedication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Midazolam, a short-acting benzodiazepine, provides sedation, anxiolysis, and amnesia for procedures; it is reversed by flumazenil.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Dopamine infusion is used in critical care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Treat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Support blood pressure in shock (inotropic/vasopressor effect)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low-moderate doses dopamine improves renal perfusion and cardiac output; at higher doses it vasoconstricts to raise blood pressure in shock.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Spironolactone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Potassium-sparing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Loop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Osmotic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Thiazide diuretic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Spironolactone blocks aldosterone and retains potassium; it is used in heart failure and ascites but risks hyperkalemia - potassium supplements are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Losartan, an angiotensin receptor blocker (ARB), is preferred over ACE inhibitors when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Needs rapid diuresis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Develops a troublesome dry cough on ACE inhibitors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allergic to aspirin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ARBs (losartan) block angiotensin II without raising bradykinin, so they are the alternative when ACE inhibitors cause a dry cough.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captopril (an ACE inhibitor) should be warned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First-dose hypotension and dizziness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Insomnia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ACE inhibitors can cause significant first-dose hypotension; the first dose is taken at bedtime, and the client rises slowly and reports dizziness.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Aspirin should NOT be given to a child with a viral illness because of the risk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Reye's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Aspirin during viral infections (chickenpox, influenza) in children can trigger Reye's syndrome - acute encephalopathy with liver failure; paracetamol is used instead.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Tramadol, an opioid analgesic, can cause which dangerous interaction or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Lowered seizure threshold and serotonin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Bradycardia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Tramadol lowers the seizure threshold and, with other serotonergic drugs, can cause serotonin syndrome; it also carries addiction and respiratory depression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Methotrexate for rheumatoid arthritis is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Three times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intravenously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Once weekly with folic acid supplementation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high-dose aspirin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RA, methotrexate is dosed once weekly (low dose) with folic acid to reduce side effects; daily dosing causes toxicity (pancytopenia, hepatitis).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Dietary teaching for a client with heart failure includes restricting sodium to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g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restriction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g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Less than 2 g per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Sodium is limited to about 2 g (2,000 mg) daily in heart failure to reduce fluid retention; clients also weigh daily and restrict fluids if advised.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'Silent' (asymptomatic) myocardial ischemia is more common in clients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Diabetes mellitus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Thyroid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Diabetic neuropathy blunts anginal warning pain, so diabetics often have silent ischemia and infarction; ECG and cardiac testing are used for detection.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Chronic atrial fibrillation requires which therapy to reduce the risk of stroke?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Anticoagulation (e.g., warfarin or DOAC)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 causes stasis in the atria, promoting thrombus formation and embolic stroke; anticoagulation is indicated based on CHA2DS2-VASc score.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hypertensive emergency (BP very high with target organ damage) is managed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and watch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antihypertensives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antihypertensives with continuous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bed rest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Hypertensive emergencies (encephalopathy, chest pain, pulmonary edema) need IV agents (labetalol, nitroprusside) with careful controlled lowering of BP.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Management of an acute COPD exacerbation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Complete rest with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Sedatives for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High-flow oxygen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Bronchodilators, systemic steroids, and controlled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Exacerbations are treated with inhaled short-acting bronchodilators, systemic corticosteroids, controlled low-flow oxygen, and antibiotics if infection is suspected.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aspiration pneumonia, the head of the bed for a client on enteral feeding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Elevated 30-45 degrees during and after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Lowered during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Flat at all times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Elevating the head 30-45 degrees during and for 30-60 minutes after feeding prevents reflux and aspiration, a key VAP prevention measure.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teaching helps prevent recurrent urinary tract infections in women?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Using tight synthetic underwear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Wiping back to front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Adequate fluids and voiding after intercourse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Holding urine to train the bladder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Hydration, voiding after intercourse, front-to-back wiping, and cotton underwear reduce UTI recurrence by flushing bacteria and preventing contamination.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continuous pulse oximetry, the sensor probe site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Taped tightly around the digit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Rotated every 2-4 hours to prevent pressure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in place for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Placed only on the earlobe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Continuous SpO2 probes are rotated and the site is checked regularly to prevent pressure sores, burns, and impaired circulation.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Oxygen given for more than a few hours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Kept dry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Humidified to prevent drying of the airways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Warmed to 50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only via mask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Humidification prevents drying of the nasal and airway mucosa during prolonged oxygen therapy; sterile water is used in the humidifier.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IV cannula size commonly used for routine adult infusions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 G (brown)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G (pink)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G (yellow)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20 G pink cannula suits most adult IV therapy; larger (16-18 G) are for blood/trauma and smaller (22-24 G) for children and fragile veins.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Blood for transfusion is primed through the IV line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0.9% normal saline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5% dextrose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Ringer's lactate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IV fluid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Only normal saline is compatible with blood; dextrose and lactated Ringer's can cause hemolysis or clotting of the transfused blood.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unit of packed red blood cells should be infused within: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hours of starting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Blood is infused within 4 hours to prevent bacterial growth at room temperature; the rate is slow for the first 15 minutes with vital signs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Platelet concentrates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Infused rapidly and never refrigerated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Given without any filter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Refrigerated before infusion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Infused over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Platelets are stored at room temperature and infused rapidly (as fast as tolerated) through a standard filter; cold storage damages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Fresh frozen plasma (FFP) is primarily given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Raise platelet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 clotting factors in bleeding or coagulopathy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oxygen-carrying capacity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 anemia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FFP contains clotting factors and is used for warfarin reversal with bleeding, liver disease coagulopathy, and DIC; it must be thawed and given promptly.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Hyperemesis gravidarum is suspected when vomiting in pregnancy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loss, dehydration, and ketonuria requiring hospitalization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nausea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Hyperemesis is severe, persistent vomiting with weight loss, dehydration, electrolyte imbalance, and ketonuria; IV fluids, antiemetics, and thiamine are given.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Screening for gestational diabetes mellitus is typically done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24-28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First trimester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oral glucose tolerance test (OGTT) is performed at 24-28 weeks when placental hormones peak and insulin resistance develops.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Rh-negative mother who delivers an Rh-positive baby should receive: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Anti-D immunoglobulin within 72 hours of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 tablets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Anti-D prophylaxis within 72 hours prevents maternal sensitization and hemolytic disease of the newborn in subsequent Rh-positive pregnancies.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newborn's first bath is best delayed until: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first minute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temperature is stable (often 6-24 hours) to prevent hypothermia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month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Bathing is delayed until the baby is thermostable to prevent cold stress; the vernix is left to absorb and the baby is dried and skin-to-skin.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Breastfeeding should ideally be initiated: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Within one hour of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when the mother requests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After 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After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Early initiation (within 1 hour) provides colostrum, promotes bonding, stimulates milk production, and reduces neonatal mortality.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Japanese encephalitis (JE) vaccine under the UIP is given in endemic districts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years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9-12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Adolescence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JE vaccine (live attenuated) is given at 9-12 months with a booster in endemic districts, as JE is a major cause of viral encephalitis in children.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Uncomplicated falciparum malaria in children is treated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Artemisinin-based combination therapy (ACT)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Steroids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ACT (e.g., artemether-lumefantrine) is the first-line treatment for uncomplicated falciparum malaria; severe malaria is treated with IV artesunate.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Zinc supplementation in childhood diarrhea is given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10-14 days to reduce duration and recurrence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day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Zinc 10-20 mg daily for 10-14 days, along with ORS, shortens the diarrheal episode and reduces subsequent episodes over 2-3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diarrhea who CANNOT drink and has sunken eyes, slow skin pinch, and lethargy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dehydration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dehydration - treat with IV fluids (Plan C)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Plan C (severe dehydration): IV Ringer's lactate 100 mL/kg - 30 mL/kg in the first hour, then 70 mL/kg over 5 hours, with reassessment.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Childhood obesity is best assessed using: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Height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Waist circumference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birth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Body mass index (BMI) percentile for 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BMI percentile for age (above 95th = obesity, 85th-95th = overweight) is the standard screening measure in children; diet and activity are addressed.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Japanese encephalitis is transmitted by the bite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Sandfly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Aedes aegypti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Anopheles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Culex mosquitoes, breeding in rice fields, transmit JE between pigs/birds and humans; Aedes transmits dengue and Anopheles malaria.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Lymphatic filariasis (elephantiasis) is transmitted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Tsetse 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Culex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Wuchereria bancrofti is spread by Culex mosquitoes; mass drug administration with DEC and albendazole is used for elimination.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Kala-azar (visceral leishmaniasis) is transmitted by the bite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Sandfly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Housefly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Phlebotomine sandflies transmit Leishmania donovani causing kala-azar (fever, splenomegaly, anemia); India aims to eliminate it with early diagnosis and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 first aid after a dog bite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Applying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Closing the wound with sutures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Waiting a week to observe the dog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Washing the wound thoroughly with soap and water for 15 minutes, then rabies PEP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wound is washed with soap and running water for about 15 minutes, followed by rabies vaccine (± immunoglobulin) per the post-exposure schedule.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Postpartum depression should be screened for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Resolves in a week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a normal phase with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Occurs only in fathers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Affects bonding and can persist without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Postpartum depression (persistent sadness, loss of interest, sleep disturbance) impairs mother-infant bonding and child development; screening and treatment (CBT/SSRIs) are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Re-experiencing the trauma in nightmares and flashbacks, with avoidance and hypervigilance, is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Post-traumatic stress disorder (PTSD)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Bipolar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Panic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Dementia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PTSD follows a traumatic event with intrusive re-experiencing, avoidance, negative cognitions, and hyperarousal lasting over a month; treated with trauma-focused CBT.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CAGE questionnaire is a screening tool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Alcohol use disorders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Anxiety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CAGE: Cut down, Annoyed by criticism, Guilty, Eye-opener (morning drinking) - four questions that screen for alcohol dependence.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red blood cell count in an adult male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1-2 million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150,000-400,000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4.5-5.5 million per mm3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4,000-11,000 per mm3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RBC count is about 4.5-5.5 million/mm3 in men and 4-5 million/mm3 in women; WBCs number 4,000-11,000 and platelets 150,000-400,000.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elevated erythrocyte sedimentation rate (ESR) generally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Inflammation or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Low blood sugar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ESR rises with inflammation, infection, autoimmune disease, and malignancy, though it is nonspecific; it helps monitor conditions like RA and TB.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numerous white blood cells in normal blood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Basophils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Lymphocytes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Neutrophils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Eosinophils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Neutrophils make up 40-70% of leukocytes; lymphocytes 20-40%, eosinophils 1-6%, and basophils less than 1%. Eosinophils rise in allergy and parasites.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method to verify autoclave sterilization is using: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Tape colour change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Timer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Biological indicators (spore strips of Bacillus stearothermophilus)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Smell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Biological indicators containing heat-resistant spores confirm sterilization; chemical indicators (tape) only show that temperature was reached, not killing.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HIV infection is confirmed by which sequence of tests?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Urine culture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X-ray findings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ELISA screening followed by Western blot confirmation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 clinical diagnosis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Screening uses ELISA (4th generation antigen-antibody); reactive results are confirmed by Western blot or molecular (NAT) testing before diagnosis.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Pernicious anemia, a macrocytic anemia, results from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B12 (due to intrinsic factor deficiency)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Folic acid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Autoimmune loss of gastric intrinsic factor prevents B12 absorption, causing pernicious (macrocytic) anemia with neurological signs; treatment is parenteral B12.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research design is considered the gold standard for establishing cause and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Randomized controlled trial (RCT)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 report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Cross-sectional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Qualitative interview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RCTs randomly assign participants to intervention/control, minimizing bias and allowing causal conclusions; they rank highest in the evidence hierarchy.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Blinding (masking) in a clinical trial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bias in assigning or assessing outcomes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sample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Speed up recruitment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Guarantee the result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Blinding prevents participants, researchers, or analysts from knowing group allocation, reducing performance and detection bias.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mass casualty triage, a BLACK tag is assigned to a casualty who: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Needs immediate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 wait for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Can walk and talk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dead or has unsurvivable injuries (expectant)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Black tag = deceased/expectant (no resuscitation priority); red = immediate, yellow = delayed, green = minor/ambulatory in disaster triage.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Work done by a force is measured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Newtons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Pascals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Work = force x displacement, measured in joules (J); power (work per time) is in watts, force in newtons, pressure in pascals.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nitric acid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H3PO4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H2SO4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HNO3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HCl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Nitric acid is HNO3; H2SO4 is sulfuric acid, HCl is hydrochloric acid, and H3PO4 is phosphoric acid.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atomic number of carbon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Carbon has atomic number 6 (6 protons) and mass number about 12 (6 protons + 6 neutrons); it is the basis of organic chemistry.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Blood pressure is measured using an instrument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Stethoscope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Thermometer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Sphygmomanometer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Oscilloscope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sphygmomanometer (cuff + gauge) measures blood pressure, used with a stethoscope to hear Korotkoff sounds.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plants, water and minerals are transported upward through: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Phloem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Xylem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Lenticels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Stomata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Xylem conducts water and minerals from roots to leaves; phloem transports food (sugars) in both directions.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Digestion of starch begins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Oesophagus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Mouth (salivary amylase)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Large intestine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Stomach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Salivary amylase (ptyalin) in the mouth begins breaking starch into maltose; protein digestion begins in the stomach and fat in the small intestine.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 metal reacts with a dilute acid, the gas evolved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Metal + dilute acid -&gt; salt + hydrogen gas; the hydrogen 'pops' with a burning splint. For example, Zn + 2HCl -&gt; ZnCl2 + H2.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bending of light as it passes from one transparent medium to another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Dispersion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Diffraction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Refraction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Refraction is the bending of light due to a change in speed between media; reflection is bouncing back, and dispersion splits white light into colours.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convex (converging) lens is commonly used in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Shaving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Magnifying glass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Rear-view mirror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Convex lenses converge light and magnify, used in magnifying glasses, cameras, and correcting hypermetropia; rear-view mirrors are convex mirrors.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Newton's third law of motion states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 every action there is an equal and opposite reaction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Momentum is mass times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Energy is conserved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equals mass times acceleration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Newton's third law: action and reaction are equal in magnitude and opposite in direction; F = ma is the second law.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President of India is elected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Prime Minister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Direct popular vote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Supreme Court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electoral college of elected MPs and MLAs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President is elected by an electoral college comprising elected members of both Houses of Parliament and of the state Legislative Assemblies (proportional representation).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procedure for the impeachment of the President of India is described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124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61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356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61 provides for impeachment of the President for violation of the Constitution, by a two-thirds majority of both Houses.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Vice-President of India is the ex-officio Chairman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Rajya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Election Commission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Lok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Supreme Court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Vice-President chairs the Rajya Sabha; the Lok Sabha is presided over by the Speaker.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Prime Minister of India is appointed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Chief Justice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Parliament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People's direct vote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President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75: the President appoints the Prime Minister (normally the leader of the majority party in the Lok Sabha) and other ministers on his advice.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Council of Ministers is collectively responsible 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Governor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Rajya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Lok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President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75(3): the Council of Ministers is collectively responsible to the Lok Sabha; losing its confidence means the government falls.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Supreme Court of India came into existence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Supreme Court was established on 28 January 1950, replacing the Federal Court; its judges are appointed by the President (Articles 124-147).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Judicial review in India is the power of courts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Amend the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Make new laws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Declare laws unconstitutional if they violate the Constitution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the President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Judicial review lets the Supreme Court and High Courts strike down laws and executive actions that violate fundamental rights or the Constitution.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Public Interest Litigation (PIL) can be filed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356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32 (Supreme Court) or Article 226 (High Court)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12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51A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PILs, filed by any public-spirited person, enforce public rights through Article 32 in the Supreme Court and Article 226 in High Courts.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writ of 'Habeas Corpus' means: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Transfer a case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Quash a court 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Produce the body (release an unlawfully detained person)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Execute a judgment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Habeas corpus ('you may have the body') orders the detaining authority to produce the person and justify detention, protecting personal liberty (Article 32/226).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five writs issued by courts for enforcing fundamental rights include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Injunction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Certiorari and Quo warranto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None of the above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Habeas corpus, Mandamus, Prohibition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five writs are habeas corpus, mandamus, prohibition, certiorari, and quo warranto; an injunction is a civil remedy, not a constitutional writ.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40% of 250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(40/100) x 250 = 100.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30 and 45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30 = 2 x 3 x 5, 45 = 3^2 x 5. HCF = 3 x 5 = 15.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the first 5 even numbers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First 5 evens: 2, 4, 6, 8, 10; sum = 30; average = 30/5 = 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7/20 expressed as a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42%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(7/20) x 100 = 35%.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150 m long crosses a pole in 10 seconds. Its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m/s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Speed = distance/time = 150/10 = 15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3, 6, 11, 18, 27,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increase by 2: +3, +5, +7, +9, so the next is +11: 27 + 11 = 38 (series is n^2 + 2).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NAME is written as 141135. How will ROSE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1815195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1815195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181595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1815205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Letters are coded by positions: N=14, A=1, M=13, E=5. ROSE = R(18), O(15), S(19), E(5) = 1815195.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girl, a boy said, 'She is the daughter of the sister of my father.' How is the girl related to the boy?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Cousin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sister of the boy's father is his aunt; the aunt's daughter is his cousin.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3 km towards North, turns right and walks 4 km, then turns right and walks 3 km. How far is he from the starting point and in which direction?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km West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3N + 4E + 3S he returns to his starting latitude, 4 km east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 January 2023 was a Sunday, what day of the week was 1 January 2024?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Saturday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2023 is a non-leap year (365 days = 52 weeks + 1 day), so the weekday advances by 1: Sunday + 1 = Monday.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