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STEMI is distinguished from an NSTEMI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Chest pain intensity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ST-segment elevation on the ECG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High white cell count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STEMI shows ST elevation (transmural infarction) and is managed with immediate reperfusion (PCI or fibrinolysis); NSTEMI has no ST elevation.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early symptom of left-sided heart failure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Abdominal distension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Ankle edema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Exertional dyspnea and fatigue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Asymptomatic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Left heart failure first causes exertional dyspnea, fatigue, and orthopnea from pulmonary congestion; peripheral edema and JVD reflect right-sided failure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COPD, the 'blue bloater' phenotype refers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lungs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Chronic bronchitis with cyanosis and 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Asthma with wheeze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Emphysema with barrel chest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Chronic bronchitis (blue bloater) presents with cyanosis, edema, and CO2 retention; emphysema (pink puffer) has dyspnea with pursed-lip breathing.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peak flow meter is used by clients with asthma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Monitor airway obstruction and guide medication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Count respirations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Diagnose pneumonia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Measure blood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Daily peak expiratory flow monitoring detects early airway narrowing, helping clients use the asthma action plan (green/yellow/red zones) before symptoms worsen.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dawn phenomenon refers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Morning hyperglycemia WITHOUT preceding nocturnal hypoglycemia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Morning hypoglycemia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Evening hyperglycemia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Nocturnal hypoglycemia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the dawn phenomenon, early-morning growth hormone/cortisol release raises glucose; unlike the Somogyi effect, there is no preceding hypoglycemia.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Radioactive iodine (I-131) therapy is used in hyperthyroidism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goitre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Destroy overactive thyroid tissue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thyroid hormone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Treat hypothyroidism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I-131 is taken up by thyroid tissue and destroys it, treating Graves' disease; clients need radiation precautions and often become hypothyroid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Thalassemia major is an inherited disorder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Increased oxygen carrying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Reduced hemoglobin chain synthesis requiring lifelong transfusions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Excess iron excretion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hemoglobin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Thalassemia is a quantitative hemoglobinopathy (reduced alpha or beta globin chains); major forms need regular transfusions, iron chelation, and monitoring.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chemotherapy extravasates into the surrounding tissue,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the infusion, aspirate residual drug, and apply the prescribed antidote/cold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Continue the infusion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Flush the line rapidly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Massage the site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Extravasation management: stop the infusion, aspirate back, remove the cannula, and apply antidote/thermal therapy per protocol; massage and further infusion worsen injury.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High fever with chills, flank pain, and costovertebral angle tenderness suggest: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Renal colic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Cystitis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Acute pyelonephritis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Nephrotic syndrome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Pyelonephritis (kidney infection) causes fever, chills, flank pain, and CVA tenderness; treatment is antibiotics with increased fluids and urine culture.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WHO analgesic ladder recommends treating cancer pain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Using only NSAIDs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Starting directly with morphine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all analgesia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Stepwise escalation from non-opioids to weak opioids to strong opioids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WHO ladder: step 1 non-opioids (+adjuvants), step 2 weak opioids, step 3 strong opioids, with regular scheduling rather than 'as needed'.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resuming oral intake after abdominal surgery, the nurse must confirm: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normal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Return of bowel sounds (and passing flatus)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wound is dry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client's appetite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Oral intake resumes only after bowel sounds and flatus indicate resolution of paralytic ileus; early signs of ileus are abdominal distension and nausea.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WHO 'Five Moments for Hand Hygiene' include all EXCEPT: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Before touching a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using the elevator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After body fluid exposure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Before clean/aseptic procedures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five moments: before touching a patient, before clean/aseptic procedure, after body fluid exposure, after touching a patient, and after touching patient surroundings.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correct order for donning (putting on) PPE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Mask, gloves, gown, goggles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Gown, mask, goggles, gloves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Gloves, gown, mask, goggles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Goggles, gloves, mask, gown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Don in order: gown first, then mask/respirator, goggles, and gloves last; doffing reverses with gloves and gown removed first (cleanest to dirtiest).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using a needle,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 it in the regular waste bin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Bend or break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Dispose of it immediately in a puncture-proof sharps container without recapping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Recap it carefully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Needles are never recapped, bent, or broken; they are discarded immediately into a puncture-proof sharps container to prevent needlestick injuries.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Immediate care after a needlestick injury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Washing the site, reporting, and starting post-exposure prophylaxis as indicated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Ignoring the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Waiting a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Squeezing the wound forcefully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wound is washed with soap and water, the incident reported immediately, source/client tested, and PEP (HIV, HBV) started within 2 hours if indicated.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According to BMW Rules 2016, human anatomical waste and soiled waste are disposed of in which colour bin?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White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Yellow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Yellow bins receive human anatomical waste, animal waste, and soiled (blood-stained) waste for incineration; red receives recyclable plastics and blue/white glass-metal sharps.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Sharp items such as broken glass vials and metal sharps are collected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Black bins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Yellow cloth bags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White/translucent (blue-marked) puncture-proof containers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 plastic bags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Sharps (needles, blades, broken glass) go into white/translucent puncture-proof containers; black bins receive incineration ash and chemical waste.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active pulmonary tuberculosis should be placed under: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Droplet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Standard precautions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Airborne precautions in a negative-pressure room with an N95 respirator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Contact precautions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TB requires airborne precautions: negative-pressure isolation, N95 or higher respirator for staff, and the client wears a mask when leaving the room.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Influenza requires which isolation precautions?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Droplet precautions (mask within 1 metre)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Contact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Airborne precautions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Influenza and meningococcal disease spread by large droplets within about 1 metre; droplet precautions include a surgical mask and eye protection.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with Clostridium difficile infection, the MOST effective hand hygiene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Alcohol-based hand rub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hand hygiene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Chlorhexidine wipes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Soap and water washing (alcohol rub does not kill spores)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C. difficile spores resist alcohol rubs; hands are washed with soap and water, and contact precautions are maintained.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use of a surgical mask by HEALTHCARE WORKERS is primarily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rebreathing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Protect against all airborne particles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Protect the wearer from large droplets and splashes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Filter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Surgical masks protect against large droplets/splashes and are worn for droplet precautions; N95 respirators filter smaller airborne particles (TB).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Digoxin is said to have a narrow therapeutic index, which means: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has no side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Small dose changes can cause toxicity; levels are monitored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is always safe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is never monitored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Narrow therapeutic index drugs (digoxin, lithium, warfarin) have a small margin between effective and toxic doses, requiring careful dosing and blood-level monitoring.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serious pulmonary adverse effect of long-term amiodarone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Bronchitis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Pneumothorax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Asthma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Pulmonary fibrosis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Amiodarone can cause potentially fatal pulmonary fibrosis, corneal deposits, photosensitivity, and thyroid dysfunction; LFTs, thyroid, and lung function are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Verapamil, a non-dihydropyridine calcium channel blocker, commonly causes: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Dry cough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Diarrhea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Verapamil blocks calcium channels in gut smooth muscle causing constipation; it is avoided in heart failure and with beta-blockers (bradycardia).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Metoprolol is preferred over propranolol in asthma because it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Cardioselective (beta-1 selective)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Non-selective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diuretic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ACE inhibitor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Metoprolol selectively blocks beta-1 (heart) receptors with less beta-2 bronchial effect, making it safer in asthma than non-selective propranolol.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common, expected side effect of nitroglycerin that clients should be warned about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Headache and dizziness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Nitrates dilate cerebral vessels causing throbbing headache and dizziness (especially on standing); these usually lessen with continued use.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drawing up a mixed dose of regular and NPH insulin,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Shake the vials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Draw the clear (regular) insulin FIRST, then the cloudy (NPH)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Draw the cloudy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Mix them in the client's tissue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'Clear to cloudy': regular (clear) is drawn first to prevent contaminating the clear vial with NPH; vials are rolled (not shaken) to resuspend.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Glucagon is used to treat severe hypoglycemia when the client: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hyperglycemic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unconscious with no IV access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Has a normal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Refuses all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Glucagon IM/SC raises glucose rapidly and is used for unconscious hypoglycemia when IV dextrose is unavailable; it is given by family/caregivers.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Digoxin immune Fab (Digibind) is the antidote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Warfarin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Heparin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Severe digoxin 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Metformin overdose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Digoxin immune Fab antibodies bind and inactivate digoxin, used in severe toxicity with life-threatening arrhythmias or hyperkalemia.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Human chorionic gonadotropin (hCG), the basis of pregnancy tests, is produced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Trophoblast (placental cells)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Maternal kidney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Fetal lungs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Ovarian follicle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trophoblast secretes hCG, which maintains the corpus luteum and progesterone in early pregnancy; it is detectable in urine about 2 weeks after conception.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Amniocentesis for genetic diagnosis is usually performed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15-18 weeks of gestation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Amniocentesis at 15-18 weeks samples amniotic fluid for karyotype, AFP, and enzyme studies; risks include a small chance of miscarriage and Rh sensitization.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transverse lie of the fetus at term requires: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intervention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Internal version at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Vaginal delivery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Caesarean delivery (usually)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transverse lie cannot deliver vaginally and carries cord prolapse/uterine rupture risk; most are delivered by caesarean section.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nuchal cord means the umbilical cord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Twisted on itself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Around the fetal leg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Prolapsed before the head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Wrapped around the fetal neck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nuchal cord is the umbilical cord around the fetal neck (found in about 20-30% of deliveries); most are loose and reduce easily.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Immediately after birth, the newborn who is not breathing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Slapped on the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Dried, warmed, stimulated, and positioned with the airway opened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Given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Wrapped tightly and left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Neonatal resuscitation begins with drying, warming, positioning, and stimulating; if still apneic, suction and bag-mask ventilation follow per NRP guidelines.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Kegel (pelvic floor) exercises postpartum are recommended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Strengthen the perineal muscles and improve urinary control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Lose weight rapidly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breast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Kegel exercises strengthen the pelvic floor, improving bladder control and perineal healing after delivery.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lactational amenorrhea method (LAM) is effective as contraception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mother has resumed menses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baby is 2 years 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baby is under 6 months, exclusively breastfed, and the mother has no menses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Any breastfeeding pattern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LAM is reliable only when all three conditions hold: infant under 6 months, exclusive breastfeeding, and amenorrhea; otherwise another method is added.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human placenta produces which hormones?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 and glucagon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TSH and ACTH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hCG, hPL, estrogen, and progesterone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ADH and oxytocin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placenta secretes hCG, human placental lactogen (hPL), estrogen, and progesterone, maintaining pregnancy and preparing the breasts for lactation.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complete (grade 4) placenta previa means the placenta: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Reaches the os but does not cover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in the upper segment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Completely covers the internal cervical 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Has separated early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Placenta previa grading: low-lying, marginal, partial, and complete (grade 4 = os fully covered); complete previa requires caesarean delivery.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UIP, the first dose of hepatitis B vaccine is given: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Within 24 hours of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9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Hepatitis B birth dose is given within 24 hours (ideally at birth) to prevent perinatal transmission, followed by doses at 6, 10, and 14 weeks.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pincer grasp - picking up small objects between thumb and index finger - develops at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9-10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month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fine pincer grasp emerges around 9-10 months; palmar grasp appears around 3-4 months and transfers between hands around 7 months.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typically speaks their first meaningful word at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Language milestones: cooing 2-3 months, babbling 6 months, first words about 12 months, and two-word phrases by 2 years.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Children with pica (eating non-food items) should be screened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Asthma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Lead poisoning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Diabetes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Pica increases lead ingestion risk from paint chips and soil; blood lead levels are checked because lead affects neurodevelopment.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infant with meningitis may present with all EXCEPT: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Clear, alert eyes with vigorous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High-pitched cry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Bulging fontanelle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Irritability and poor feeding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Infant meningitis: fever, irritability, poor feeding, high-pitched cry, bulging fontanelle, and seizures; a well-fed, alert infant makes the diagnosis unlikely.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Status epilepticus in a child is defined as a seizure lasting: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More than 5 minutes or repeated seizures without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hour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Status epilepticus is a convulsion lasting over 5 minutes or repeated seizures without regaining consciousness; it needs emergency benzodiazepines and anticonvulsants.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scald burns in children, the temperature of hot water heaters at home should be set at or below: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49 degrees C (120 degrees F)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90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70 degrees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Water heaters are set below 49 degrees C (120 degrees F) so that a child's thin skin cannot be scalded in seconds by very hot tap water.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Newborn hearing screening is important because early detection allows: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Immunization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Early intervention that improves speech and language development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Prevention of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Universal newborn hearing screening (by otoacoustic emissions) enables early amplification and therapy, which dramatically improve language outcomes.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Reproductive and Child Health (RCH) programme focuses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Road safety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Maternal health, child survival, and family planning services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cancer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Mental health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RCH (phase I 1997, phase II under NRHM) integrates maternal care, child survival, safe abortion, RTI/STI management, and family planning.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Janani Shishu Suraksha Karyakram (JSSK) entitles every pregnant woman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Free housing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Free education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Free cosmetics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Free drugs, diagnostics, diet, and transport for delivery and sick newborns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JSSK (2011) guarantees cashless, free services - drugs, diagnostics, diet, transport, and referral - for institutional delivery and sick newborns.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Pulse Polio campaigns administer: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Injectable polio vaccine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Extra OPV doses on fixed national immunization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Pulse polio (NIDs/SNIDs) gives supplementary OPV doses on campaign days to interrupt wild poliovirus transmission, complementing routine UIP doses.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Integrated Disease Surveillance Programme (IDSP) aims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Treat chronic diseases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Distribute medicines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Detect and respond to disease outbreaks 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Build hospitals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IDSP collects and analyzes surveillance data from health facilities to enable early detection, investigation, and response to outbreaks.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Chlorination of water is done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 taste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Cool the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Kill pathogenic microorganisms and make water safe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Add minerals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Chlorine disinfects water by inactivating bacteria and viruses; a residual chlorine level of 0.5 mg/L at the tap indicates safety.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term 'overcrowding' is significant in public health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Improves health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Reduces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Increases the transmission of airborne and droplet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affects privacy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Overcrowding (more than 2 persons per room or &gt;50 sq ft per person) promotes transmission of TB, influenza, and meningitis, and contributes to ill health.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Waxy flexibility, a feature of catatonia,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Maintaining postures for long periods, resisting repositioning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Forgetting recent events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Rapid mood swings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Compulsive hand washing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Catatonic signs include waxy flexibility, stupor, mutism, and posturing, seen in schizophrenia and mood disorders; the limb stays where placed.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bipolar disorder, the DEPRESSIVE episode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 mood, anergia, and sleep/appetite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Pressured speech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Flight of ideas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Elevated mood and grandiosity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Bipolar depression resembles major depression (low mood, fatigue, insomnia or hypersomnia, poor concentration); mania is the opposite pole.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ECT, the client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Fully sedated for 24 hours prior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NPO for 6-8 hours with pre-ECT assessments (BP, ECG, consent)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Given a large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Given oral fluids freely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ECT requires 6-8 hours fasting, pre-anaesthetic evaluation, informed consent, removal of dentures/jewellery, and monitoring of vitals during recovery.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step in managing an acutely agitated psychiatric client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Seclusion without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Verbal de-escalation and ensuring a safe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 physical restraint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Discharge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Verbal de-escalation - calm tone, personal space, offering choices - is tried first; restraints/medication are used only if the client is a danger to self or others.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Thought withdrawal, in which the client believes thoughts are being removed from the mind, is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Schneiderian first-rank symptom of schizophrenia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Depressive symptom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thought process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Personality trait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Thought withdrawal, insertion, and broadcasting are Schneider's first-rank symptoms of schizophrenia, along with delusional perception and audible thoughts.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cranial nerve controls the muscles of facial expression?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XII (hypoglossal)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 (trigeminal)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VII (facial)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III (oculomotor)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facial nerve (VII) innervates facial muscles and taste to the anterior tongue; the trigeminal (V) is sensory to the face and motor to mastication.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optic nerve, responsible for vision, is cranial nerve: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VIII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CN I olfactory (smell), CN II optic (vision), CN VIII vestibulocochlear (hearing/balance).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vagus nerve (CN X) supplies: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the tongue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the eye muscles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Parasympathetic fibres to heart, lungs, and digestive organs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facial skin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vagus provides parasympathetic innervation to thoracic and abdominal viscera, regulating heart rate, gut motility, and airway tone.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Albumin, the most abundant plasma protein, is important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Maintaining plasma oncotic pressure and transporting substances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Immunity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Clotting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Oxygen transport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Albumin maintains colloid osmotic pressure (holding water in vessels) and carries drugs and hormones; low albumin causes edema.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Mycobacterium tuberculosis is cultured on which medium?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Lowenstein-Jensen medium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MacConkey agar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Sabouraud agar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agar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LJ medium, an egg-based selective medium, supports slow growth of M. tuberculosis; Sabouraud agar grows fungi and MacConkey grows gram-negative bacilli.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Syphilis is caused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Chlamydia trachomatis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HPV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Neisseria gonorrhoeae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Treponema pallidum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Syphilis is caused by the spirochaete Treponema pallidum, transmitted sexually or vertically; it is curable with penicillin.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Alcohol-based hand rubs are most effective when the alcohol concentration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100% absolute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60-95%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10-20%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Hand rubs with 60-95% alcohol denature microbial proteins effectively; lower concentrations are insufficient and 100% evaporates too fast.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Fluoride is added to drinking water primarily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goitre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 taste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 anemia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dental caries (tooth decay)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Fluoride at about 1 ppm strengthens tooth enamel and reduces dental caries; excess fluoride causes dental fluorosis.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Zinc is essential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blood clotting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bone formation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Wound healing, immunity, and growth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Zinc supports immune function, wound healing, growth, and taste; deficiency causes growth retardation, hair loss, and impaired immunity.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case-control study, participants are selected based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Randomization to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Their age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Whether they have the disease (cases) or not (controls), looking back at exposures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Following them forward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Case-control studies compare past exposures between diseased cases and non-diseased controls - retrospective, efficient for rare diseases, but prone to recall bias.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cohort study follows: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Single case reports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dead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Laboratory specimens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group of people forward in time to observe who develops the outcome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Cohort (follow-up) studies track exposed and unexposed groups prospectively to compare outcome rates; they are strong for studying incidence and causation.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ABC analysis in inventory management categorizes items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Value/consumption - A (high value), B (moderate), C (low value)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Expiry date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Alphabetical order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ABC (Always Better Control) analysis classifies stock by annual usage value: 'A' items are few but costly and tightly controlled, 'C' items are many but cheap.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purpose of a nursing budget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Fix patients' fees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Pay staff bonuses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Eliminate all spending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Plan and control expenditure for staffing, supplies, and services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nursing budget estimates and controls costs - personnel (largest share), supplies, and equipment - supporting safe, efficient patient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time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Second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second is the SI base unit of time; minute, hour, and day are derived practical units.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methane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C2H6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CH3OH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Methane, the main component of natural gas, is CH4; C2H6 is ethane and CH3OH is methanol.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Rusting of iron requires: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heat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 and moisture (water)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carbon dioxide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Rusting is the oxidation of iron requiring both oxygen and water; painting, galvanizing, or oiling prevents it by excluding these.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the eye that controls the amount of light entering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Retina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Iris (regulating pupil size)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Cornea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iris adjusts the pupil diameter to control light entry; the retina receives the image, and the lens focuses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fasting blood glucose level in a healthy adult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70-100 mg/dL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250-300 mg/dL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150-200 mg/dL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10-20 mg/dL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Normal fasting glucose is 70-100 mg/dL; 100-125 is impaired (prediabetes) and 126 or above on two occasions indicates diabetes.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Pressure in a liquid increases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Height above the liquid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Surface area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Depth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Temperature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Hydrostatic pressure = density x g x depth; it increases with depth, which is why dams are thicker at the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convex (diverging) mirror is used in vehicle rear-view mirrors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Absorbs all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Magnifies images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Produces real images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Gives a wider field of view with diminished images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Convex mirrors always form erect, diminished images over a wide field of view, helping drivers see more of the road behind.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Sound cannot travel through: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vacuum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Steel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Sound needs a material medium; in a vacuum there are no particles to vibrate, so no sound propagates (unlike light).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electromagnet is made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Coiling a wire around an iron core and passing current through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Cooling a copper bar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Heating a magnet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Rubbing two magnets together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electromagnet consists of a solenoid (current-carrying coil) around a soft iron core; its magnetism can be switched on/off and strengthened by current.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loss of water vapour from the leaves of plants through stomata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Photosynthesis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Transpiration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Diffusion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Respiration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Transpiration is the evaporation of water from leaf stomata; it aids water transport, cooling, and mineral uptake in plants.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Constituent Assembly of India held its first meeting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August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26 November 1949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 December 1946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26 January 1950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Constituent Assembly first met on 9 December 1946, with Dr. Sachchidananda Sinha as temporary president and Dr. Rajendra Prasad as permanent president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moved the historic 'Objectives Resolution' in the Constituent Assembly?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B.R. Ambedkar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Mahatma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Sardar Patel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Jawaharlal Nehru moved the Objectives Resolution on 13 December 1946, which became the guiding philosophy (Preamble) of the Constitution.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parliamentary system of government in India is borrowed from: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Japanese Constitution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USA Constitution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British (UK) Constitution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French Constitution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India borrowed parliamentary government, rule of law, and legislative procedure from Britain; the federal system is from Canada and fundamental rights from the USA.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concept of Fundamental Duties in the Indian Constitution was inspired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Irish Constitution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USSR (Soviet) Constitution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Australian Constitution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USA Constitution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Fundamental Duties (added 1976) were inspired by the USSR Constitution; Directive Principles came from Ireland, and emergency provisions from Germany.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Subjects in the Concurrent List can be legislated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the States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the Union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Both the Union and State governments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Concurrent List (education, criminal law, forests) allows both Parliament and state legislatures to make laws; Union law prevails on conflict.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Police, public health, and agriculture fall under which list in the Indian Constitution?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Union List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State List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Residuary powers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Concurrent List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State List subjects include police, public health, agriculture, and local government; the Union List covers defence, foreign affairs, and currency.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Residuary powers - subjects not listed in any list - belong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judiciary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Both equally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Union (Parliament)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States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248 gives residuary powers to Parliament; any subject not in the Union, State, or Concurrent List is legislated by the Union.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amendment removed the Right to Property from the Fundamental Rights?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42nd Amendment, 1976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24th Amendment, 1971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61st Amendment, 1988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44th Amendment, 1978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44th Amendment (1978) deleted property from Part III, making it a legal right under Article 300A; it also changed emergency provisions.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Concurrent List contains subjects such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Foreign affairs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Education, forests, and criminal law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Police and agriculture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Defence and currency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Concurrent subjects include education, forests, criminal law, marriage, and trade unions; defence, currency, and foreign affairs are Union subjects.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Three-tier Panchayati Raj system is constituted under which schedule of the Constitution?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Twelfth Schedule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Eleventh Schedule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Fifth Schedule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Ninth Schedule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73rd Amendment added Part IX with the Eleventh Schedule (29 subjects for Panchayats); the Twelfth Schedule lists 18 subjects for municipalities.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35% of 140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(35/100) x 140 = 49.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LCM of 15 and 25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15 = 3 x 5, 25 = 5^2. LCM = 3 x 5^2 = 75.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12,000 at 8% per annum for 2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2,400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2,000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1,600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1,920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(12000 x 8 x 2)/100 = Rs 1,920.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3/5 expressed as a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(3/5) x 100 = 60%.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area of a rectangle with length 12 m and breadth 5 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34 m2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120 m2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 m2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m2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Area = length x breadth = 12 x 5 = 60 m2.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number in the series: 7, 14, 28, 56,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112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Each term doubles: 56 x 2 = 112.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PAPER is written as 16116518. How will BOOK be written in that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2121511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2151510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2151511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2151511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Letters are coded by positions: B=2, O=15, O=15, K=11, so BOOK = 2151511.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said, 'This boy is the son of my father's daughter.' How is the boy related to the man?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Grandson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Nephew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man's father's daughter is his sister; the sister's son is the man's nephew.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5 km towards East, turns right and walks 5 km, then turns right and walks 5 km. How far is he from the starting point and in which direction?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km South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km North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5E + 5S + 5W he returns to his starting longitude, 5 km south of the start.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angle between the hands of a clock at 2:30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 2:30 the hour hand is at 2.5 x 30 = 75 degrees and the minute hand at 180 degrees; difference = 105 degrees.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