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Hepatitis A is transmitted primarily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Sexual contact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Mosquito bite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Faecal-oral route (contaminated food and water)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Hepatitis A spreads through contaminated food/water and close contact; it causes acute self-limiting hepatitis with no chronic carrier state, and a vaccine provides protection.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Hepatitis B is spread through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Contaminated needles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Casual contact such as shaking hands or sharing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Unprotected sexual contact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HBV spreads via blood, sex, and mother-to-child transmission - not through casual contact; it is preventable with a safe, effective vaccine and can become chronic.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Hepatitis C is of special concern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Has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spread by coughing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always fatal within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Often becomes chronic and is a leading cause of cirrhosis and liver cancer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HCV - mainly blood-borne - progresses silently to chronic infection in most cases; direct-acting antivirals now cure over 95% of cases if treated.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Acute pancreatitis classically presents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Severe epigastric pain radiating to the back, with nausea and vomiting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Right upper quadrant pain after fatty meals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Bloody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Painless jaundice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Pancreatitis - from gallstones or alcohol - causes severe midepigastric pain boring to the back; care is NPO, NG suction, IV fluids, analgesia, and monitoring of amylase/lipase.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client with cholelithiasis typically experiences pain: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 the right upper quadrant, often after a fatty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during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Around the umbilicus at night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the left lower quadrant on waking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Gallstones block bile flow, causing biliary colic - right upper quadrant/epigastric pain radiating to the right shoulder after fatty meals; ultrasound confirms stones.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classic sequence of pain in acute appendicitis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Left-sided flank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Pain starting in the right lower quadrant and spreading to the chest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Vague periumbilical pain moving to the right lower quadrant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Pain only after eating sweets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Early appendicitis causes visceral periumbilical pain; as inflammation reaches the parietal peritoneum, pain localizes to McBurney's point in the right lower quadrant.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Generalized peritonitis produces a characteristic abdomen that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Rigid (board-like) with rebound tenderness and absent bowel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Scaphoid and silent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Soft with normal bowel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Distended with loud gurgling sounds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Peritoneal inflammation causes guarding and rigidity, rebound tenderness, paralytic ileus (absent sounds), fever, and tachycardia - a surgical emergency with NPO, IV fluids, and antibiotics.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hernia that cannot be reduced and becomes painful, tense, and tender with signs of obstruction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Strangulated - a surgical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hiatal hernia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epigastric strain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normal reducible hernia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If bowel trapped in a hernia loses blood supply (strangulation), it causes severe pain, obstruction, and necrosis - urgent surgery; reducible hernias are elective repairs.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small intestinal obstruction, the nurse would expect: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Colicky cramping pain, vomiting, abdominal distension, and absent bowel sounds in late stages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Constant pain without vomiting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change in bowel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Diarrhoea with tenesmus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Obstruction gives crampy pain with hyperactive 'tinkling' sounds early, then vomiting, distension, and eventually silent abdomen; management is NPO, NG decompression, and IV fluids.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nursing action for a client with haematemesis (vomiting blood) from a suspected upper GI bleed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laxative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Feed the client a light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Assess airway, breathing, and circulation; obtain IV access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cold packs to the feet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Upper GI bleeding can cause hypovolaemic shock - first secure the airway (aspiration risk), start two large-bore IVs, draw blood for crossmatch, and monitor vital signs; NPO.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High Fowler's position, with the head of the bed at 60-90 degrees, is most useful for clients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Breathing difficulty or after abdominal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Hip fracture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Spinal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Hypotension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 Fowler's maximizes lung expansion and lowers intra-abdominal pressure; it also promotes drainage after abdominal surgery and helps clients with dyspnea.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orthopneic position is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Sitting upright, often leaning forward over an overbed table, to ease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Lying on the left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Head lower than feet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Lying flat on the back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Orthopnea is relieved by sitting; the orthopneic position - upright, leaning forward with arms supported - uses accessory muscles optimally and is used in severe dyspnea.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supine (dorsal) position - lying flat on the back - is commonly used: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 feeding unconscious clients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spinal anaesthesia and for general examination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 prevent sacral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 clients with severe dyspnea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Supine suits spinal anaesthesia recovery, head/neck surgery, and assessment; prolonged supine risks sacral pressure injury and aspiration, so it is alternated with other positions.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side-lying (lateral) position helps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lung expansion maximally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Drain the lungs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 hip flexion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Relieve pressure on the sacrum and heels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Side-lying shifts weight off the sacrum and heels, preventing pressure injuries; it is alternated every 2 hours with supine and prone positions in bedridden clients.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foot drop in a bedridden client,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a footboard and provide range-of-motion exercises to the ankles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feet tightly wrapped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 pillows under the knees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Allow the feet to dangle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footboard keeps the feet at 90 degrees, and passive/active ankle ROM prevents plantar-flexion contracture (foot drop) from prolonged immobility.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trochanter roll placed alongside the hips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Immobilize the knees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external rotation of the hips and legs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Elevate the head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Support the lumbar curve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trochanter roll - a rolled towel from the iliac crest to mid-thigh - keeps the femurs from rolling outward, maintaining neutral hip alignment in the supine client.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Passive range-of-motion exercises are performed when the client: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Can move independently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Cannot move the joint voluntarily; the nurse moves each joint through its range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fully ambulatory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an athlete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Passive ROM - the nurse moves the joint - maintains flexibility in paralyzed or unconscious clients; active ROM is performed by the client, and active-assist needs some client effort.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active-assistive range-of-motion exercises,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Joints are not moved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Nurse performs all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Client performs the movement with the nurse's help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Client moves alone with no help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Active-assistive ROM lets the client do as much as possible while the nurse supports the limb, gradually strengthening muscles and maintaining joint motion.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Contractures from immobility are best prevented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Restricting all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Regular range-of-motion exercises and correct positioning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Heat applied once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Immobilizing the joints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Daily ROM exercises, proper positioning with supports, and early mobilization prevent shortening of muscles and tendons (contractures) that permanently deform joints.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fitting axillary crutches, the hand rests on the handgrip so the elbow is bent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degrees, with weight on the shoulders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Flat, with no bend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 degrees, with weight on the armpits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degrees, with the body weight borne on the hands, not the axillae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Crutch height allows 2-3 finger widths below the axilla (never bear weight on the axillae - nerve damage); elbows flex about 30 degrees and hands take the body weight.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using a single cane should hold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Behind the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 the STRONGER side, moving it with the weaker leg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 the weaker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either hand without rules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cane is held on the strong side and advanced with the weak leg - the cane and weak leg move together, widening the base of support and reducing load on the weak side.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laboratory value used to monitor heparin therapy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Prothrombin time (PT/INR)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Haemoglobin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Platelet count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Activated partial thromboplastin time (aPTT)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Heparin is monitored with aPTT (target 1.5-2.5 times normal); warfarin is monitored with PT/INR. Protamine sulfate reverses heparin.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Warfarin therapy is monitored using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Serum creatinine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INR (international normalized ratio), usually kept between 2 and 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Warfarin - a vitamin K antagonist - is titrated by INR; most indications target 2-3. High INR means bleeding risk (hold dose, vitamin K), low INR means under-anticoagulation.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Low-dose aspirin is given after myocardial infarction because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Relaxes the coronary arteries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Lowers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Inhibits platelet aggregation, reducing the risk of another clot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Replaces digoxin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Aspirin irreversibly blocks platelet cyclooxygenase, preventing thromboxane production and clot formation; it is started immediately in acute coronary syndrome and continued long-term.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Clopidogrel, an antiplatelet drug, works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Dissolving existing clots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Blocking ADP receptors on platelets to prevent aggregation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Raising platelet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Blocking vitamin 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Clopidogrel inhibits platelet P2Y12 ADP receptors; it is often combined with aspirin after stents (dual antiplatelet therapy) - bleeding precautions apply.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statin therapy (e.g., atorvastatin) should be taught to report: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Orange-coloured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Unexplained muscle pain or weakness (myopathy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Improved vision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Statins lower LDL cholesterol but can cause myopathy and rarely rhabdomyolysis - muscle pain with dark urine must be reported; liver enzymes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chest pain taking sublingual nitroglycerin should be instructed to call emergency services if pain is not relieved after: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tablets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tablets taken 5 minutes apart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tablet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rule of three: one tablet every 5 minutes, up to 3 doses; if pain persists beyond that, it is a myocardial infarction - emergency help is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administering morphine, the nurse should check the client's: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Respiratory rate (below 12/min means hold and notify)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Body weight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Urine colour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Morphine depresses the respiratory centre; if the rate is below 12/min, the dose is held and the provider notified. Naloxone reverses severe respiratory depression.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for paracetamol (acetaminophen) overdose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Protamine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N-acetylcysteine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Flumazenil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Paracetamol overdose depletes glutathione, causing liver necrosis; N-acetylcysteine given within 8-10 hours restores glutathione and prevents hepatic failure.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minimize gastric irritation from NSAIDs such as ibuprofen, the nurse advises the client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on a completely empty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Chew the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dose with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the drug with food or milk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NSAIDs block prostaglandins that protect the gastric lining; taking them with food/milk reduces dyspepsia and ulcer risk, but long-term use still needs monitoring for GI and renal effects.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Sudden PAINLESS bright red vaginal bleeding in the third trimester is most suggestive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Ruptured uterus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Chorioamnionitis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Placenta praevia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Abruptio placentae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Placenta praevia - placenta covering the cervical os - bleeds painlessly as the lower segment stretches; vaginal examination is avoided, and delivery is often by caesarean.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Abruptio placentae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uterine tenderness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Painless bright red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Painful vaginal bleeding with a tense, tender, rigid uterus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Bleeding only after delivery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Premature placental separation causes abdominal pain, dark bleeding, uterine rigidity ('woody' uterus), and fetal distress - an emergency needing rapid delivery and shock management.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nursing action when umbilical cord prolapse is detected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Relieve pressure on the cord by elevating the presenting part and position the mother (knee-chest/hip-up)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Pull the cord gently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for the next contraction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Cord prolapse compresses the cord and cuts fetal oxygen - the nurse holds the presenting part off the cord, places the mother in Trendelenburg/knee-chest, and prepares for emergency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Shoulder dystocia is managed initially with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Pulling the baby's head forcefully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Oxytocin augmentation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McRoberts manoeuvre (hyperflexing the mother's thighs onto the abdomen)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Fundal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When the anterior shoulder is stuck behind the symphysis, McRoberts' position (thighs flexed to the abdomen) plus suprapubic pressure rotates the shoulder; fundal pressure is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Uterine rupture during labour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Sudden severe abdominal pain, loss of fetal station, and fetal distress or absent fetal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Painless bleeding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Gradual cervical dilatation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maternal symptoms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Rupture - most often with a scarred uterus or obstructed labour - causes catastrophic pain, vaginal bleeding, the presenting part rising, and fetal compromise; immediate laparotomy is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Vasa praevia, in which fetal blood vessels cross the cervical os, is dangerous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placenta is always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Rupture of membranes can tear the vessels, causing rapid fetal exsanguination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delays labour by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only affects the mother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Umbilical vessels running through the membranes over the os can be torn when membranes rupture - fetal blood loss is rapid; an elective caesarean before labour avoids this catastrophe.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Chorioamnionitis, infection of the amniotic cavity, is suggested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Polyhydramnios without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Maternal fever, uterine tenderness, and fetal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Painless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maternal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prolonged rupture of membranes, ascending infection causes fever, foul amniotic fluid, uterine tenderness, and fetal tachycardia; treatment is IV antibiotics and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with premature rupture of membranes is at increased risk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Multiple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Post-term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Polyhydramnios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Ascending intrauterine infection and cord prolapse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PROM - leaking of amniotic fluid before labour - removes the barrier to vaginal bacteria and allows cord prolapse; sterile speculum exam, nitrazine test, and monitoring are done.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Measles (rubeola) is classically identified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Cough, coryza, conjunctivitis (the 3 Cs) with Koplik spots and a blotchy rash from the face downward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vesicular rash starting on the trunk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Parotid swelling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grey throat membrane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Measles - a highly contagious viral infection - starts with fever, cough, coryza, conjunctivitis, and Koplik spots (white dots inside the cheeks) before the maculopapular rash spreads downward.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chickenpox is considered contagious until: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rash first appears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fever subsides for one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 lesions have crusted over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One week after the rash fades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Varicella spreads from 1-2 days before the rash until all vesicles crust; calamine, cool baths, and trimmed nails reduce itching - aspirin is avoided (Reye's syndrome risk).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Mumps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Whooping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Strawberry tongue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sandpaper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Painful swelling of the parotid glands, sometimes with orchitis in adolescent males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Mumps - a viral infection - causes tender parotid enlargement ('hamster face'), fever, and headache; orchitis in postpubertal males is usually unilateral. MMR vaccine prevents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Pertussis (whooping cough)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Parotid swelling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mild runny nose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grey membrane in the throat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Paroxysms of coughing followed by a loud 'whoop' on inspiration, often with vomiting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Pertussis - Bordetella pertussis - causes prolonged paroxysmal coughing fits with a whoop and post-tussive vomiting; infants may have apnea; DPT vaccine protects.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Diphtheria produces a characteristic: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Parotid swelling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Painless conjunctivitis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Vesicular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Greyish-white pseudomembrane in the throat that can obstruct the airway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Corynebacterium diphtheriae forms a tough membrane over the tonsils/pharynx - airway obstruction and toxin-mediated myocarditis are dangers; antitoxin and antibiotics are given.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Neonatal tetanus is best prevented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Delaying the first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Breastfeeding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Clean cord care and maternal immunization with tetanus toxoid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Giving antibiotics at birth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Tetanus neonatorum follows infection of the umbilical stump with Clostridium tetani; maternal TT immunization (TT1/TT2) and aseptic cord care eliminate almost all cases.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Poliomyelitis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maculopapular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Spastic paralysis with severe sensory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Parotid swelling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Acute flaccid paralysis of the limbs without sensory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Poliovirus attacks anterior horn motor neurons causing asymmetrical flaccid paralysis; India was declared polio-free in 2014 through OPV/IPV campaigns - acute flaccid paralysis is still surveilled.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Scarlet fever, a complication of group A streptococcal infection,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grey throat membrane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vesicular rash on the palms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fine sandpaper rash, strawberry tongue, and sore throat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Parotid swelling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Erythrogenic toxin causes the diffuse red rash with 'strawberry tongue' and circumoral pallor; penicillin treats the streptococcus and prevents rheumatic fever.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Under-5 Mortality Rate (U5MR) is defined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Stillbirths per 1,000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Deaths per 1,000 population of all 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Deaths under 1 year per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Deaths of children under 5 years per 1,000 live births in a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U5MR - deaths below age 5 per 1,000 live births - is a key indicator of child survival and overall development; India's U5MR has fallen steadily with IMNCI, immunization, and nutrition programmes.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Life expectancy at birth is defined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average age of the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maximum age ever recorded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retirement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average number of years a newborn is expected to live under current mortality rates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Life expectancy is a summary of mortality - how long a newborn would live if current age-specific death rates stayed the same; India's life expectancy has risen to about 70 years.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demographic transition theory describes: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Population growth from migration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shift from high birth and death rates to low birth and death rates as societies develop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changes in death rates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movement of people between villages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Societies move from high mortality/high fertility through falling death rates (population explosion) to low fertility and near-stable growth - India is in the late expanding stage.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Census of India is conducted: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Every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during elections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Every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Every 10 years (decennial), the first complete census being in 1881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synchronous house-to-house enumeration every decade - first complete census in 1881, with the latest in 2011 (the first digital census 2021 was postponed); census data drive planning.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Family Health Survey (NFHS) is a large-scale survey that provides data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railway usage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agricultural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Stock market prices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Fertility, mortality, nutrition, and health care utilization of households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NFHS - conducted by the government every few years - measures fertility, family planning, maternal-child health, nutrition, anaemia, and health access, guiding national programmes.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couple protection rate (CPR) indicates: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percentage of eligible couples effectively protected against conception by contraception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number of couples divorcing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birth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infant mortality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CPR measures contraceptive use among married couples of reproductive age - a core indicator of family planning programme success, with sterilization, IUDs, and spacing methods counted.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Examples of spacing methods of contraception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Abstinence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Tubectomy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Condoms, oral contraceptive pills, and IUCDs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Vasectomy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Spacing methods postpone pregnancy temporarily (condoms, pills, IUCDs, injectables); terminal methods (vasectomy, tubectomy) end fertility permanently.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Loosening of associations, a thought disorder in schizophrenia, refers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Rapidly jumping thoughts with rhyming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Repeating another person's words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Ideas shifting between unrelated topics without logical connection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Slowed, sparse thinking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loosening of associations, speech lacks logical links between sentences - seen in schizophrenia; flight of ideas (racing, distractible) is typical of mania, and echolalia is repeating others' words.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Flight of ideas, a rapid jump from one topic to another often with word play, is characteristic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Dementia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Major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Anorexia nervosa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Flight of ideas - pressured, racing, connected by puns and distractions - reflects manic thought acceleration; in schizophrenia the disorganization is loosening of associations.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Catatonia includes features such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Anorexia and weight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Hyperactivity and euphoria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Waxy flexibility, stupor, mutism, and posturing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Compulsive washing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Catatonic behaviour - immobility with waxy flexibility (limbs stay where placed), mutism, negativism, and stereotypy - occurs in schizophrenia and mood disorders; malignant catatonia is an emergency.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Avolition, a negative symptom of schizophrenia, is best described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Excessive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Lack of motivation and inability to initiate goal-directed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Bizarre delusions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Hallucinations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Negative symptoms - avolition, alogia (poverty of speech), affective flattening, and anhedonia - are deficits that impair function more than positive symptoms like hallucinations.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right atrium of the heart receives: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Oxygenated blood from the lungs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Deoxygenated blood from the superior and inferior vena cavae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Lymph from the spleen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from the aorta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Systemic venous blood returns via the venae cavae to the right atrium, passes to the right ventricle, and is pumped to the lungs for oxygenation.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Arteries differ from veins in that arteries: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Have valves throughout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Carry blood only toward the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Carry blood away from the heart under higher pressure with thick elastic walls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carry oxygenated blood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Arteries - thick, elastic, muscular - carry blood away from the heart under high pressure; veins have valves, thin walls, and low pressure. The pulmonary artery carries deoxygenated blood.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Exchange of oxygen, nutrients, and waste between blood and tissues occurs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Venae cavae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Capillaries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Heart chambers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Large arteries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Capillary walls are one cell thick, allowing diffusion of oxygen, nutrients, and carbon dioxide between blood and interstitial fluid.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Functions of the spleen include all EXCEPT: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Producing bile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Storing platelets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Immune surveillance (lymphocytes)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Filtering old red blood cells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spleen removes aged RBCs, stores platelets, and mounts immune responses; bile is produced by the liver - the spleen does not make bile.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difference between sterilization and disinfection is that sterilization: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Destroys ALL microorganisms including spores, while disinfection only reduces pathogens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never used in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weaker than disinfection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cleans visible dirt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Sterilization (autoclave, ethylene oxide, radiation) kills all forms of microbial life including spores; disinfection (chemicals, boiling) eliminates most vegetative pathogens but not spores.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Boiling water at 100 degrees Celsius for disinfection: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Sterilizes instruments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Kills most vegetative bacteria and viruses but NOT bacterial spores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Kills all spores instantly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useless against all microbes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Boiling is a useful household disinfection method for 10-20 minutes - it destroys vegetative bacteria, viruses, and fungi, but resistant spores survive; it is not true sterilization.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Ethyl alcohol is most effective as a skin antiseptic at a concentration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70% alcohol is optimal - it denatures proteins slowly enough to penetrate bacteria; 100% coagulates surface proteins too fast, shielding the organisms, and lower strengths are too weak.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Complex carbohydrates, such as whole grains and legumes, are preferred because they: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Are entirely protein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 blood sugar instantly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Are digested slowly, providing sustained energy and fibre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Contain no energy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Starches and fibre are digested gradually, preventing glucose spikes and giving satiety; simple sugars (sweets, soft drinks) are absorbed rapidly and promote obesity and diabetes.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glycaemic index of a food measures: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Its vitamin content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How quickly the food raises blood glucose compared with a reference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Its protein quality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Its fat content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High-glycaemic foods (white bread, sugary drinks) spike glucose rapidly; low-glycaemic foods (dal, oats, vegetables) release glucose slowly - useful in diabetic meal planning.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an experimental study, the variable that the researcher manipulates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Dependent variable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Independent variable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Confounding variable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independent (experimental) variable is manipulated; the dependent (outcome) variable is measured to see the effect; confounders are extraneous factors that must be controlled.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null hypothesis in research states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sample is biased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There is always a difference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There is no relationship or difference between the variables studied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results are significant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null hypothesis (H0) asserts no effect/difference; the researcher collects data to decide whether to reject it - rejection supports the alternative (research) hypothesis.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autocratic leadership, the leader: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Shares decisions with the group by consensus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Makes decisions alone with little input from the team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Avoids making any decisions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Gives complete freedom to the group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Autocratic (authoritarian) leadership centralizes decision-making - efficient in emergencies but lowers morale; democratic leadership consults the team, and laissez-faire gives full freedom.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management function mnemonic POSDCORB stands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Planning, Organizing, Staffing, Directing, Coordinating, Reporting, Budgeting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Personnel, Operations, Sales, Delivery, Control, Records, Benefits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Planning, Ordering, Storing, Dispensing, Checking, Recording, Billing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Planning, Operating, Selling, Directing, Counting, Reviewing, Billing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Luther Gulick's POSDCORB describes management: planning, organizing, staffing, directing, coordinating, reporting, and budgeting - the core functions of nursing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Newton's law of universal gravitation states that the force between two masses: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Depends on their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directly proportional to the product of masses and inversely proportional to the square of the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independent of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Acts only on Earth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 = G (m1 x m2)/r2 - gravitational force grows with mass and weakens with the square of the distance; it acts between all objects with mass everywhere.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washing soda (sodium carbonate)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Na2CO3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NaHCO3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NaCl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NaOH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Washing soda is sodium carbonate, Na2CO3; NaHCO3 is baking soda, NaCl is common salt, and NaOH is caustic soda (sodium hydroxide).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Blue litmus paper turns red in a solution that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Salty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Basic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Neutral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Acidic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Acids turn blue litmus red; bases turn red litmus blue; neutral solutions (pure water) do not change litmus colour.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'powerhouse of the cell', where most ATP is produced,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Nucleus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Ribosome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Mitochondrion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Golgi apparatus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Mitochondria perform aerobic respiration, producing ATP - cells with high energy demand (muscle, liver) are packed with mitochondria; the nucleus stores DNA and ribosomes build proteins.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Cellular respiration releases energy in the form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ATP molecules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heat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Electricity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Glucose is broken down with oxygen to carbon dioxide, water, and energy stored as ATP, the cell's energy currency; respiration is the reverse of photosynthesis.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sea level, pure water boils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120 degrees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 degrees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 degrees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 degrees Celsius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Water boils at 100 degrees C at 1 atmosphere; at high altitude, lower pressure lowers the boiling point, so food takes longer to cook.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Outside a magnet, magnetic field lines run from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Centre to the edges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South pole to the north pole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random directions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North pole to the south pole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Convention: field lines emerge from the north pole and enter the south pole outside the magnet (inside the magnet they run south to north), forming closed loops.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Approximately what percentage of dry air is oxygen?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21%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Air is about 78% nitrogen, 21% oxygen, and 1% argon with traces of carbon dioxide and other gases.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glucose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C2H5OH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C6H12O6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Glucose - a simple sugar - is C6H12O6; CO2 is carbon dioxide, C2H5OH is ethanol, and CH4 is methane.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Evaporation causes cooling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liquid expands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Cold air rises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Heat is added to the liquid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fastest-moving molecules escape, lowering the average energy of the remaining liquid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During evaporation, high-energy molecules leave the surface, so the remaining liquid has lower average kinetic energy - this is why sweating cools the body and water pots stay cool.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Fundamental Rights of Indian citizens are contained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Part III of the Constitution (Articles 12-35)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Part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Part 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Part IVA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Part III guarantees Fundamental Rights (equality, freedom, against exploitation, religion, culture, constitutional remedies); Part IV has Directive Principles and Part IVA Fundamental Duties.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Directive Principles of State Policy (Part IV)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Non-justiciable guidelines for the state, inspired by the Irish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same as Fundamental Rights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about elections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Enforceable in courts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DPSPs are ideals the state should follow (welfare, education, health) but are NOT enforceable by courts; Fundamental Rights are justiciable.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Fundamental Duties were added to the Constitution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42nd Amendment (1976) on the Swaran Singh Committee's recommendation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original Constitution of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101st Amendment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73rd Amendment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42nd Amendment (1976) inserted Part IVA with 10 Fundamental Duties, later increased to 11 with the 86th Amendment (2002) adding education of children.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National Emergency (Article 352) can be proclaimed on grounds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Any cabinet disagreement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War, external aggression, or armed rebellion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State elections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economic crisis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Under Article 352, the President can proclaim a national emergency for war, external aggression, or armed rebellion; it requires parliamentary approval within one month.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President's rule (Article 356) is imposed in a state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state exports goods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state requests a loan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Elections are due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constitutional machinery of the state fails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If a state government cannot function constitutionally, President's rule is proclaimed under Article 356; the state legislature is suspended or dissolved and the assembly must approve within 2 months.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Finance Commission of India is constituted under: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110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280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368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280 establishes the Finance Commission every 5 years to recommend tax-sharing between the Union and states; the Election Commission is under Article 324.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SEBI (Securities and Exchange Board of India) is the regulator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Railways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capital market (stock exchanges, mutual funds, brokers)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Insurance companies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Banks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SEBI - set up in 1988, given statutory powers in 1992 - protects investors and regulates securities markets; insurance is regulated by IRDAI and banks by the RBI.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NABARD, established in 1982, is concerned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Space research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Agricultural and rural development finance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Urban transport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Railway construction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NABARD (National Bank for Agriculture and Rural Development) refinances rural credit, promotes cooperatives and microfinance, and supports rural infrastructure development.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State Bank of India was formed in 1955 by nationalizing: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Bank of Baroda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Reserve Bank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Imperial Bank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Punjab National Bank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SBI came into being in 1955 when the Imperial Bank of India was nationalized - India's largest public sector bank; the RBI itself was set up in 1935.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woman President of India was: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Sushma Swaraj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Indira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Meira Kumar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Pratibha Patil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Pratibha Devisingh Patil served as President from 2007 to 2012; Indira Gandhi was the first woman Prime Minister, and Meira Kumar the first woman Speaker of the Lok Sabha.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25% of 240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(25/100) x 240 = 60.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and B together can complete a task in 6 days. A alone takes 10 days. B alone takes: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A's rate = 1/10, together = 1/6; B = 1/6 - 1/10 = (5-3)/30 = 2/30 = 1/15, so B takes 15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12,000 at 10% per annum for 2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2,400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2,640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(12000 x 10 x 2)/100 = Rs 2,400.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perimeter of a rectangle measuring 12 cm by 8 cm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96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48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Perimeter = 2(length + breadth) = 2(12 + 8) = 40 cm; area = 12 x 8 = 96 sq cm.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term: 3, 6, 11, 18, 27,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Differences are 3, 5, 7, 9 (odd numbers), so the next difference is 11: 27 + 11 = 38.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GO is written as 22 (G=7, O=15). How will TO be written in the same code?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Letters are summed by position: G(7) + O(15) = 22; T(20) + O(15) = 35.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5 km West, turns left and walks 6 km South, then turns left and walks 5 km East. His final position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the starting point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km South of the start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5W + 6S + 5E cancels the east-west movement, leaving him 6 km South of the start.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is the brother of B. B is the daughter of C. C is the wife of D. How is A related to D?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Cousin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Nephew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 is D's wife, so D is the father of B; since A is B's brother, A is D's son.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15 August 2023 was a Tuesday, then 15 August 2022 was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Wednesday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Going back one normal year (365 days = 52 weeks + 1 day), the day shifts back by 1: Tuesday -&gt; Monday.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six numbers is 15. If one number (30) is removed, the average of the remaining five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Sum of six = 6 x 15 = 90; after removing 30, sum = 60; new average = 60/5 = 12.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