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minimum number of antenatal care (ANC) visits recommended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 visits only for high-risk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visit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(one in the first trimester, one at 20-24 weeks, one at 28-32 weeks, and one at 36 weeks)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least 4 ANC visits are recommended - early registration, then at 20-24, 28-32, and 36 weeks; WHO now suggests 8 contacts to improve outcomes.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fetal heart is first audible by Doppler ultrasound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28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Fetal heart tones can be detected with a Doppler from about 10-12 weeks and with a fetoscope/stethoscope around 18-20 weeks; the normal baseline is 110-160 beats/min.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Routine urine testing at each ANC visit checks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Sodium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acidity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Protein (preeclampsia) and glucose (gestational diabetes)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blood group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Proteinuria after 20 weeks signals preeclampsia and glucosuria prompts GDM screening - both are key preventable causes of maternal-fetal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woman is considered anaemic when her haemoglobin is below: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 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WHO: Hb below 11 g/dL in pregnancy is anaemia - common in India from iron deficiency; treatment is iron-folic acid supplementation and dietary counselling.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programme, every pregnant woman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calcium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and folic acid tablets (100 mg iron + 500 mcg folic acid) for 180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injections for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IFA supplementation - 100 mg elemental iron with 500 mcg folic acid daily for 180 days - prevents anaemia and neural tube defects; calcium is also added for hypertension prevention.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Tetanus toxoid immunization in pregnancy is given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neonatal tetanus by protecting the newborn through maternal antibodies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Boost the mother's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influenza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TT1 is given at first contact (or 16 weeks) and TT2 at least 4 weeks later, with boosters in later pregnancies; maternal antibodies cross the placenta to protect the newborn.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Examples of HIGH-RISK pregnancies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normal 25-year-old first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None of these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Well-controlled gestational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Elderly primigravida, grand multipara, previous caesarean, and preeclampsia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High-risk categories - extremes of age, grand multiparity, previous operative delivery, medical disorders (diabetes, hypertension), multiple pregnancy, and previous pregnancy loss - need closer surveillance and referral.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Teenage pregnancy carries an increased risk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Polyhydramnios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Post-term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Macrosomia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Preterm birth, low birth weight, anaemia, and hypertensive disorders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Adolescent mothers - biologically and socially immature - have higher rates of preterm delivery, LBW, anaemia, preeclampsia, and obstructed labour; they need special antenatal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Intrauterine growth restriction (IUGR) is suggested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fetus is above the 90th percentile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fetus is below the 10th percentile for gestational age on ultrasound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mother gains excess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Amniotic fluid is excessive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IUGR - fetal growth below the 10th percentile - is linked to placental insufficiency, hypertension, smoking, and infections; serial ultrasound, Doppler, and NST monitor fetal wellbeing.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Fetal macrosomia is defined as a birth weight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1.5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kg (4,000 g)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kg exactly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Macrosomia (4 kg+) - from maternal diabetes, obesity, or genetics - raises the risk of shoulder dystocia, birth injury, and caesarean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Oligohydramnios is diagnosed when the amniotic fluid index (AFI)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Zero at term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Less than 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than 25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8-18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AFI below 5 cm (or deepest pocket under 2 cm) is oligohydramnios - associated with fetal renal problems, rupture of membranes, and cord compression; it needs fetal surveillance.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Polyhydramnios is diagnosed when the amniotic fluid index (AFI)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Exactly 2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than 25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Less than 5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Excess fluid (AFI &gt;25 cm or deepest pocket &gt;8 cm) is linked to fetal anomalies (oesophageal atresia, anencephaly), multiple pregnancy, and maternal diabetes - preterm labour risk rises.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multiple pregnancy, the mother is at increased risk of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Preterm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Preeclampsia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Post-term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Twins raise the risk of anaemia, preeclampsia, polyhydramnios, preterm birth, and malpresentation - they rarely go post-term; careful nutrition, rest, and surveillance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FRANK breech presentation, the fetus lies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foot presenting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Buttocks presenting with hips flexed and knees extended (feet near the face)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shoulder presenting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Both feet presenting first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Frank breech - legs straight up, buttocks first - is the commonest type; complete breech has hips and knees flexed, footling has feet first, and all increase cord prolapse and birth injury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External cephalic version (ECV) is a procedure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Induces labour with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Delivers the baby surgically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Turns the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Turns a breech fetus to head-down by abdominal manipulation before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ECV - usually at 36-37 weeks with ultrasound and cardiotocography - rotates the breech to vertex, increasing the chance of vaginal birth; it is attempted only in uncomplicated pregnancies.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Cephalopelvic disproportion (CPD)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fetus is too small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pelvis is always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There is excess amniotic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fetal head is too large or the maternal pelvis too small for vaginal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CPD - mismatch between the fetal head and maternal pelvis - presents with a high floating head, slow dilatation, and obstructed labour; a trial of labour may be attempted, with caesarean if it fails.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Common indications for caesarean delivery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multiple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maternal preference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distress, cephalopelvic disproportion, placenta praevia, and malpresentation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previous vaginal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Caesarean is done for fetal compromise, obstructed labour/CPD, placenta praevia, transverse lie, preeclampsia emergencies, and previous caesarean - the decision balances maternal and fetal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Vaginal birth after caesarean (VBAC) is attempted only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monitoring is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There was a previous classical scar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woman is grand multipara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previous scar is low-transverse, the pelvis is adequate, and facilities for emergency caesarean exist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VBAC suits a low-transverse scar with no recurrent indication; a classical (vertical) scar raises uterine rupture risk, so repeat caesarean is preferred - labour is conducted with continuous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nuchal cord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umbilical cord is looped around the fetal neck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cord is too short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cord has a true knot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placenta is 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Nuchal cord - the cord wrapped around the neck - is common and usually harmless; it may cause variable decelerations during labour, and the loop is reduced over the head at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Babies of mothers with gestational diabetes are at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Post-term delivery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complications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Microcephaly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Macrosomia, neonatal hypoglycaemia, and birth injury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Maternal hyperglycaemia drives fetal hyperinsulinism - large baby, and after birth with the glucose supply cut off, the baby's high insulin causes hypoglycaemia; glucose monitoring follows birth.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Severe features of preeclampsia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single high reading at 12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ankle oedema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Headache, visual disturbances, epigastric pain, and BP 160/110 mmHg or above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preeclampsia - very high BP with neurological or hepatic symptoms (headache, blurred vision, epigastric pain), thrombocytopenia, or renal dysfunction - needs urgent delivery planning and magnesium sulfate.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Nursing care during an eclamptic seizure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Restraining the limbs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Protecting the airway, preventing injury, placing the mother in the left lateral position, and giving magnesium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Inserting anything into the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Eclampsia - seizures with preeclampsia - is managed with airway protection, padded bed, left lateral tilt, magnesium sulfate (antidote calcium gluconate), and preparation for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HELLP syndrome, a severe form of preeclampsia,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blood pressure, Low platelets, Low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Haemolysis, Elevated Liver enzymes, Low Platelets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sugar, High pressure, High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HELLP - Haemolysis, Elevated Liver enzymes, Low Platelets - causes epigastric pain, nausea, and malaise; it is an obstetric emergency (delivery + supportive care) with maternal mortality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Amniotic fluid embolism is a catastrophic obstetric emergency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backache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Painless bleeding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Slow gradual onset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Sudden collapse with respiratory distress, cyanosis, and coagulopathy during or soon after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Amniotic fluid entering the maternal circulation triggers anaphylactoid shock and DIC - sudden dyspnea, hypotension, cardiac arrest, and bleeding; treatment is aggressive supportive care (oxygen, fluids, coagulation support).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Postpartum endometritis, uterine infection after delivery,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Fever, foul lochia, uterine tenderness, and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Painless lochia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breast engorgement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Endometritis - common after caesarean or prolonged labour - causes fever within days of delivery with tender, subinvoluted uterus and offensive lochia; treatment is broad-spectrum IV 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painful breast engorgement in the puerperium, the nurse advises: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Stopping breastfeeding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Tight binding of the breasts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Applying heat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Frequent feeding, warm compresses before feeds, and gentle hand expression or cold packs between feeds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Engorgement - vascular congestion and milk stasis - is eased by effective, frequent feeding, warm packs before and cold packs after feeds, and analgesia; the key is removing milk, not stopping 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Cracked nipples during breastfeeding are best managed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breastfeeding for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a nipple shield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Correcting the latch, air-drying the nipples, and starting feeds on the less sore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Applying soap and scrubbing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Nipple trauma results mainly from poor positioning/latch - correct technique, expressed milk or lanolin on the nipple, air-drying, and starting on the unaffected side promote healing while feeding continues.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Breastfeeding jaundice in the newborn is primarily due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Inadequate milk intake leading to dehydration and reduced bilirubin excretion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blood group mismatch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infection of the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 failure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breastfeeding jaundice - insufficient intake, few stools - resolves by feeding more often; it differs from breast MILK jaundice (later, benign) and from pathological causes that need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Rooming-in, keeping the baby with the mother after birth, promotes: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Breastfeeding on demand, bonding, and early recognition of baby's cues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Delayed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Poor maternal rest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Rooming-in facilitates cue-based feeding and mother-infant attachment, and it helps mothers learn newborn care; it is a key step in the Baby-Friendly Hospital Initiative.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Initiation of breastfeeding should begin: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After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the cord falls off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day 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Within 1 hour of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Early skin-to-skin contact and first breastfeed within the first hour deliver colostrum, stimulate milk production, and reduce neonatal mortality - a global standard of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Community-acquired pneumonia typically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Painless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Fever, productive cough, pleuritic chest pain, and crackles on auscultation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silent chest with no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 sore throat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Pneumonia - alveolar infection - causes fever, cough with sputum, dyspnea, and crackles; severity is assessed (CURB-65) and antibiotics started early, with oxygen and fluids for support.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Pulmonary tuberculosis is suggested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Parotid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sudden vesicular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Cough for more than 2 weeks, with or without haemoptysis, night sweats, and weight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Persistent cough (2+ weeks), evening fever, night sweats, weight loss, and sometimes blood-streaked sputum suggest TB - sputum AFB examination or CBNAAT confirms, and NTEP provides free DOTS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bronchial asthma is taught to monitor control at home using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Sphygmomanometer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Pulse oximeter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Thermometer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Peak expiratory flow 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Peak flow monitoring tracks airway narrowing daily - a drop below personal best signals worsening asthma; an action plan guides inhaler use and when to seek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therapy in COPD is given at LOW flow (1-2 L/min)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oxygen can suppress the hypoxic drive and cause CO2 narcosis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flow causes burns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works faster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 flow saves electricity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chronic CO2 retainers, the hypoxic drive stimulates breathing - too much oxygen removes that drive, raising CO2 to dangerous levels; target saturation is 88-92%.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bronchitis in an otherwise healthy adult is usually: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form of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Viral and self-limiting, treated symptomatically without routine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bacterial needing immediate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Fatal without hospitalization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Most acute bronchitis is viral - cough, sputum, and chest discomfort resolve in 1-3 weeks; antibiotics are reserved for suspected pertussis or chronic lung disease, and symptom relief is the mainstay.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single most important risk factor for lung cancer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Cigarette smoking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consumption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altitude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Tobacco smoke causes about 85% of lung cancers; persistent cough, haemoptysis, and weight loss in a smoker warrant imaging - smoking cessation at any age lowers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large pleural effusion would show: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breath sounds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Wheezing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Hyper-resonant percussion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Decreased or absent breath sounds with dullness on percussion over the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Fluid in the pleural space dampens sound transmission - diminished breath sounds and stony dullness; thoracentesis (diagnostic and therapeutic) relieves dyspnea.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Spontaneous pneumothorax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Gradual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Productive green sputum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Sudden sharp chest pain and dyspnea with absent breath sounds on the affected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Air in the pleural space collapses the lung - sudden pleuritic pain, dyspnea, hyper-resonance, and absent breath sounds; a small pneumothorax may absorb, while large/tension ones need a chest tube.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sputum specimen for testing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Collected after brushing teeth with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Saliva from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Early morning, produced by a deep cough, in a sterile wide-mouth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time after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most concentrated respiratory secretions are coughed up on waking - collected before food and mouthwash into a sterile container, preferably on 3 consecutive days for TB.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 stool occult blood test, the client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red meat, vitamin C supplements, and aspirin for several days as instructed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Eat only red meat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iron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Nothing is restricted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Red meat, vitamin C, and aspirin can cause false results, so dietary and drug restrictions precede faecal occult blood testing; the specimen must be fresh and uncontaminated by urine.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urine specimen for culture must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stream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Collected midstream in a sterile container and transported promptly or refrigerated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Collected from the bedpan after sitting for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Kept at body temperature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Clean-catch midstream urine in a sterile container, delivered to the lab within an hour or refrigerated, prevents bacterial overgrowth that would give false culture results.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Blood cultures are drawn: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Aseptically from two different sites before antibiotics are started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From the IV line with the infusion running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the same site twice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after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Two sets from separate venepunctures (ideally before antibiotics and during fever spikes) with strict asepsis maximize organism yield and reduce contamination.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capillary blood glucose testing,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Prick the side of the fingertip, wipe the first drop, and apply the next drop to the strip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Squeeze the finger hard to get more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alcohol while the site is still wet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Prick the centre of the fingertip pad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side of the fingertip is less painful; wiping the first drop avoids tissue-fluid dilution, and letting the blood drop fall onto the strip gives an accurate reading.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throat swab for culture is obtained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Using a dry swab on the lips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Swabbing the tonsillar area and posterior pharynx, avoiding the tongue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Swabbing the nostril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Swabbing only the front teeth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swab must touch the inflamed tonsils/pharynx where organisms collect - the tongue and saliva dilute the sample; it is done with good light and a tongue blade.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wound culture is best obtained: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the bandage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applying antiseptic to the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the exudate or a swab of the wound base using sterile technique, before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From the skin around the wound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Culturing the purulent exudate or wound bed (after cleaning superficial debris) identifies the organism and guides antibiotic choice; collecting before antibiotics gives the truest result.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Oxytocin is administered after delivery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Induce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up breast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Stimulate uterine contraction and prevent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- 10 units IM or IV infusion after delivery of the anterior shoulder/placenta - contracts the uterus and is the first-line drug for preventing and treating atonic PPH.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Misoprostol, a prostaglandin, is used in obstetrics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milk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Postpartum haemorrhage and cervical ripening/induction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Preventing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Treating anaemia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Misoprostol (PGE1) contracts the uterus - WHO lists it for PPH where oxytocin is unavailable and for induction/ripening; it causes shivering and fever as side effects.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Methylergometrine, used for uterine atony, is CONTRANDICATED in women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 (it causes vasoconstriction and raises BP)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Postpartum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Uterine atony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Ergot alkaloids constrict vessels and raise blood pressure - they are avoided in preeclampsia/hypertension, while oxytocin remains safe; they also cause uterine cramping.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magnesium sulfate toxicity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gluconate (10%, IV)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Protamine sulfate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Loss of deep tendon reflexes, respiratory depression, and cardiac arrest signal magnesium toxicity - IV calcium gluconate antagonizes it while the infusion is stopped.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Betamethasone is given to a woman in preterm labour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contractions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milk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Accelerate fetal lung maturity and reduce respiratory distress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Antenatal corticosteroids (betamethasone or dexamethasone) between 24-34 weeks induce surfactant production, cutting neonatal RDS, IVH, and mortality in preterm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Methyldopa is preferred for chronic hypertension in pregnancy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safe for the fetus with a long record of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lowers BP instantly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 beta-blocker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Has no side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Methyldopa - a central alpha-2 agonist with decades of pregnancy safety data - is a first-line oral antihypertensive in pregnancy; labetalol and nifedipine are alternatives.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severe preeclampsia, IV labetalol is given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urine output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 dangerously high blood pressure to prevent stroke while keeping placental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Induce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Sedate the 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hypertension (160/110+) needs controlled IV reduction with labetalol, hydralazine, or nifedipine - too rapid a drop can compromise the placenta, so BP is lowered stepwise.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APGAR score evaluates the newborn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Appearance (colour), Pulse, Grimace (reflex), Activity (tone), and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Weight, length, head, chest, and foot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heart rate and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sugar, calcium, bilirubin, oxygen, and pH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APGAR - scored 0-2 on each of five parameters (max 10) at 1 and 5 minutes - quickly gauges transition; a low score prompts resuscitation, not a diagnosis of asphyxia alone.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APGAR score is routinely assessed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Weekly for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1 hour and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minute and 5 minutes after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Scoring at 1 minute guides immediate resuscitation and at 5 minutes (and every 5 more if low) predicts recovery; it is not a measure of long-term outcome.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Newborn umbilical cord care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spirit and covering with a tight bandage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Pulling the stump off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Bathing the stump in soapy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Keeping the stump clean and dry, folding the diaper below it, and watching for redness or discharge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Dry cord care - clean, dry, exposed to air, no covering - lets the stump fall off in 1-2 weeks; redness, pus, or bleeding suggests infection needing attention (omphalitis prevention).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K is given to every newborn at birth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haemorrhagic disease of the newborn (vitamin K deficiency bleeding)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Promote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Boost immunity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Newborns have low vitamin K and sterile guts, so clotting factors are deficient - 1 mg IM vitamin K at birth prevents serious intracranial and GI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Eye prophylaxis at birth, to prevent ophthalmia neonatorum, 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saline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Antiseptic lotion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 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Erythromycin or tetracycline ointment in both eyes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Topical erythromycin/tetracycline within the first hour prevents gonococcal and chlamydial conjunctivitis that could blind the infant; it is routine newborn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Neonatal hypoglycaemia is suggested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Jitteriness, poor feeding, lethargy, and seizures, confirmed by a low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 sleep with good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pink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activity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Signs - tremors, irritability, weak cry, hypotonia, apnea - overlap with sepsis; blood glucose below 45-50 mg/dL is treated with early feeds or IV dextrose, especially in LBW and diabetic mothers' babies.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RCH (Reproductive and Child Health) programme covers: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immunization of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school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water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Family planning, maternal health, child health, and reproductive tract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RCH - the umbrella programme for maternal and child health - includes safe motherhood, contraception, newborn care, immunization, and management of RTI/STI.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acronym RMNCH+A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Research in Maternal Neonatal Child Health and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Regional Maternal Newborn Care Hospital and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Rural Medical Nursing Community Health and Aid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Reproductive, Maternal, Newborn, Child health and Adolescent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RMNCH+A - India's strategic framework - links reproductive, maternal, newborn, child, and adolescent health services across the continuum of care from adolescence to postpartum.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Rural Health Mission (NRHM) was launched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NRHM (2005) strengthened rural health infrastructure, ASHA workers, and maternal-child services; it merged with the urban mission in 2013 as the National Health Mission (NHM).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Ayushman Bharat - Pradhan Mantri Jan Arogya Yojana (PM-JAY)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Scholarships for nurses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Health insurance cover of Rs 5 lakh per family per year for secondary and tertiary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Free rice to all families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train tickets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PM-JAY - the world's largest publicly funded health assurance scheme - covers about 12 crore poor and vulnerable families for hospitalization; Ayushman Arogya Mandirs provide primary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health education, IEC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Indian Education Council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Immunization and Emergency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Information, Education, and Communication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Infectious Etiology Control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IEC - using posters, media, and interpersonal communication - informs and motivates communities to adopt healthy behaviours and services.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Borderline personality disorder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Disregard for others' rights with no remorse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Grandiosity and need for admiration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Unstable relationships, intense mood swings, impulsivity, and fear of abandonment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Excessive orderliness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BPD - emotional dysregulation, splitting (all-good/all-bad), self-harm, and frantic efforts to avoid abandonment - responds to dialectical behaviour therapy (DBT) and careful medication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Antisocial personality disorder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persistent disregard for and violation of others' rights, with lack of remorse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Dependence on others for decisions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Fear of social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Compulsive checking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Antisocial PD - deceitfulness, impulsivity, irritability, irresponsibility, and absence of guilt - begins before age 15 (conduct disorder); it is more common in males and linked to criminality.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Narcissistic personality disorder is marked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Grandiosity, need for admiration, and lack of empathy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Odd beliefs and magical thinking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Suspicion and mistrust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Self-harm and abandonment fear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Narcissistic PD - inflated self-importance, fantasies of success, entitlement, exploitation of others, and envy - differs from healthy self-esteem in its lack of empathy and fragile self-worth.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Most absorption of nutrients occurs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Oesophagus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Large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Small intestine (via villi and microvilli)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small intestine's huge surface area - villi and microvilli - absorbs digested carbohydrates, proteins, fats, vitamins, and minerals; the colon absorbs mainly water and salts.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Bile, produced by the liver, is stored and concentrated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Duodenum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Gallbladder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Hepatocytes make bile continuously; the gallbladder stores and concentrates it, releasing it into the duodenum after fatty meals to emulsify fats for digestion.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Amoebic dysentery is caused by the protozoan: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Plasmodium vivax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Giardia lamblia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Entamoeba histolytica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Trichomonas vaginalis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E. histolytica - spread by contaminated food/water - invades the colon causing bloody, mucoid stools ('strawberry jam') with tenesmus; metronidazole or tinidazole treats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Absorption of iron from food is enhanced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Phytates in cereals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 (ascorbic acid) taken with the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Tea and coffee with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supplements at the same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converts iron to the absorbable ferrous form and prevents its precipitation - citrus, amla, or lime with meals boost uptake, while tea, coffee, calcium, and phytates inhibit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acceleration due to gravity on Earth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9.8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19.6 m/s2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4.9 m/s2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 = 9.8 m/s2 - falling objects gain 9.8 m/s of speed every second (ignoring air resistance); it varies slightly with altitude and latitude.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pendulum's time period depends mainly on its: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of the bob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Length (T = 2 x pi x sqrt(L/g))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Amplitude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period of a simple pendulum is set by its length and gravity - heavier or wider swings barely matter; this made pendulums the basis of accurate clocks.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SONAR is used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Magnify tiny objects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Detect objects underwater by reflecting sound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the speed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See through walls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SONAR (Sound Navigation and Ranging) transmits sound pulses and times the echoes to map the seabed, fish shoals, and submarines - it is the underwater equivalent of radar.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Ultrasound, sound above the human hearing range, is used in medicine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Radio broadcasting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Imaging (obstetric scans) and therapeutic applications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Lighting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Audible alarms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Frequencies above 20,000 Hz - ultrasound - reflect off tissues to form images (sonography) and can also break kidney stones (lithotripsy); bats use it for echolocation.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Isotopes of an element have: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Different atomic numbers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same number of protons but different numbers of neutrons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Different numbers of protons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Different chemical properties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Isotopes share the atomic number (protons) but differ in mass number (neutrons) - e.g., carbon-12 and carbon-14; their chemistry is nearly identical.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Mitosis, the cell division that produces: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new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Two identical daughter cells for growth and repair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Four gametes with half the chromosomes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Mitosis - one cell splits into two genetically identical cells - drives growth and tissue repair; meiosis produces four haploid gametes for reproduction.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nitrogen cycle, the bacteria that convert atmospheric nitrogen into usable compounds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Photosynthetic bacteria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organisms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Nitrogen-fixing bacteria (e.g., Rhizobium in root nodules)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 viruses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Rhizobium (with legumes) and free-living bacteria fix N2 into ammonia, which nitrifying bacteria convert to nitrates plants can use; denitrifying bacteria return nitrogen to the air.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Renewable energy sources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Uranium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Solar, wind, hydro, and biomass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Coal and petroleum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Natural gas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Renewables - sun, wind, water, biomass, geothermal - replenish naturally; fossil fuels (coal, oil, gas) and nuclear uranium are non-renewable.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electric fuse works on the principle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Heating effect of current - a thin wire melts to break the circuit on overload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Light emission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Electrostatic attraction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Magnetic effect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Excess current heats the fuse wire above its melting point, breaking the circuit and protecting appliances and wiring from damage and fire.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series circuit, if one bulb burns 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other bulbs stay lit at full brightness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Nothing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current increases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whole circuit goes off because the current path is broken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Series components share one path - a break stops current everywhere; in parallel circuits, each branch is independent, so the other bulbs remain lit.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ISRO, the Indian space agency, was established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1985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ISRO (Indian Space Research Organisation) was founded in 1969 under Vikram Sarabhai, with its headquarters in Bengaluru; the first satellite Aryabhata launched in 1975.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Chandrayaan-3, which made India the first nation to land near the lunar south pole, landed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August 2008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January 2024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August 2023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August 2019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Chandrayaan-3's Vikram lander and Pragyan rover touched down on 23 August 2023 near the Moon's south pole - a historic first, following Chandrayaan-2's 2019 attempt.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Mangalyaan (MOM), India's Mars orbiter mission, was notable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Reaching Mars orbit on its FIRST attempt, at the lowest cost of any Mars mission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Orbiting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Bringing back Martian soil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Landing humans on Mars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Mars Orbiter Mission (2013-14) entered Martian orbit on its first try - a rare achievement - and made India the first Asian nation to reach Mars.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Gaganyaan is India's mission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Indian astronauts (vyomanauts) to space in an Indian crewed spacecraft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a space hotel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Land on the Moon with a rover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Probe the Sun's corona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Gaganyaan - ISRO's human spaceflight programme - will launch a three-member crew into low Earth orbit for about three days, with the first uncrewed test flights already flown.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PSLV (Polar Satellite Launch Vehicle) is India's workhorse rocket known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Submarine launches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Launching remote-sensing and interplanetary missions, including Chandrayaan-1 and Mangalyaan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Manned Moon landings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military 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PSLV - a four-stage rocket with an enviable success record - has launched most of India's satellites and the Mars Orbiter Mission; GSLV/LVM3 handle heavier geostationary payloads.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NavIC, India's satellite navigation system, is comparable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Weather radar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Internet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GPS (Global Positioning System)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Radio broadcasting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NavIC (Navigation with Indian Constellation) provides regional positioning over India and the surrounding area - used for navigation, fleet tracking, and disaster management, like GPS but indigenous.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BrahMos is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Nuclear submarine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Satellite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Supersonic cruise missile developed jointly by India and Russia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Fighter aircraft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BrahMos - named after the Brahmaputra and Moskva rivers - is a supersonic cruise missile (about 3 times the speed of sound) built by DRDO and Russia's NPO Mashinostroyenia.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BARC (Bhabha Atomic Research Centre), India's premier nuclear research facility,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Bengaluru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BARC - named after Homi Bhabha, the father of India's nuclear programme - at Trombay, Mumbai, drives nuclear power, medicine, and agriculture research; the 1974 'Smiling Buddha' test used its reactor.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India's indigenously built supercomputers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Titan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Summit and Frontier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Fugaku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Param series (e.g., Param Siddhi, AIRAWAT)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C-DAC's Param series and AIRAWAT (an AI supercomputer) represent India's high-performance computing; Summit, Frontier, and Fugaku are American/Japanese systems.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Aryabhata, India's first satellite, was launched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1985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1975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Aryabhata - named after the ancient mathematician - was launched by a Soviet rocket on 19 April 1975, beginning India's space programme.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40% of 350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(40/100) x 350 = 140.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numbers are in the ratio 3:4 and their sum is 21. The numbers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and 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and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 and 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and 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Parts = 3 + 4 = 7; one part = 21/7 = 3; numbers = 9 and 12.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6,000 at 9% per annum for 2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980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1,080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(6000 x 9 x 2)/100 = Rs 1,080.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at 5 km/h for 2.5 hours. The distance covered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12.5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7.5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Distance = 5 x 2.5 = 12.5 km.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square with side 11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121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122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Area = side x side = 11 x 11 = 121 sq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1, 4, 9, 16, 25,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These are perfect squares: 1x1, 2x2, 3x3, 4x4, 5x5; next is 6x6 = 36.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A=1, B=2, C=3 and so on, how will SUN be written?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1921140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211914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192114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192114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S=19, U=21, N=14, so SUN = 192114.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faces East. He turns 90 degrees clockwise, then another 90 degrees clockwise. He now faces: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East -&gt; (90 clockwise) South -&gt; (90 clockwise) West; two right-angle turns from East face West.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lady, a man says, 'Her mother is the sister of my father.' How is the lady related to the man?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Niece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lady's mother is the man's father's sister (his aunt), so the lady is the man's cousin.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How many times do the hour and minute hands of a clock coincide in 12 hours?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 times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hands coincide 11 times in 12 hours (about every 65.45 minutes) - they coincide 22 times in 24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