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full-thickness burn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Red, painful skin with intact blisters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epidermal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Destruction of the epidermis and dermis, appearing white, waxy, or charred with NO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tissue damage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Full-thickness burns destroy all skin layers and nerve endings - painless, leathery, charred areas; superficial partial-thickness burns are red, moist, and painful with blisters.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sign of inhalation injury in a burn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Singed nasal hairs, soot in the mouth, hoarseness, and stridor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normal voice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Clear nasal passages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Facial burns, singed eyebrows/nasal hair, carbonaceous sputum, and hoarseness warn of airway oedema - early intubation may be needed before swelling obstructs the airway.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escharotomy is performed in circumferential full-thickness burns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 skin for grafting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Dress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infection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Relieve pressure from the unyielding burned tissue that can block circulation and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rigid eschar of a circumferential burn constricts like a tourniquet - cutting it (escharotomy) restores distal circulation and chest movement.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electrical burns, the nurse should be most concerned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internal injury 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superficial skin redness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Hidden deep tissue and cardiac damage at the entry/exit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Sunburn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Electricity follows deep tissue and can cause cardiac arrhythmias, myoglobinuria (renal failure), and severe internal damage with small skin wounds - ECG and urine monitoring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First aid for a chemical burn to the skin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Applying butter or 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Neutralizing with the opposite chemical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Covering with dry bandage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Immediate, copious irrigation with water for at least 20-30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Dilution and removal - flush with large volumes of water (remove contaminated clothing); neutralizing chemicals can generate heat and worsen injury, and dry powders are brushed off first.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Tetanus prophylaxis for a client with a dirty wound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vaccination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Tetanus toxoid booster (and immunoglobulin if poorly immunized) within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Tetanus is prevented by wound cleaning plus toxoid boosters (Td) per schedule; tetanus immunoglobulin is added for high-risk wounds in inadequately immunized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Compartment syndrome after a fracture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pulses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warm pink extremity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unrelieved pain, swelling, and pain on passive stretch of the muscles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Pressure builds in a closed muscle compartment, cutting blood flow - the '5 Ps' (pain out of proportion, pallor, paresthesia, paralysis, pulselessness); it is an emergency needing fasciotomy.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Fat embolism syndrome most commonly follows: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wrist fracture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Fractures of the long bones (femur), presenting with hypoxia, petechiae, and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mild sprain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Marrow fat enters the blood after long-bone fractures - dyspnea, petechial rash on the chest, fever, and neurological changes hours to days later; early immobilization reduces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care for a client with a fractured femur before surgery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Removing all 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Encouraging weight bearing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Applying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Immobilization, neurovascular checks, and pain management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Splinting/traction reduces pain and emboli risk; neurovascular status (pulse, colour, movement, sensation) is checked frequently to detect complications like compartment syndrome.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an above-knee amputation, the nurse should position the limb: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Hanging off the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a flexed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Flat and straight (no pillows under the knee) to prevent flexion contracture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Elevated on two pillows at the knee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pillow under the knee promotes hip/knee flexion contracture, hampering prosthetic fitting - the residual limb stays extended, and phantom limb pain is managed with medication and desensitization.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Normal oxygen saturation (SpO2) in a healthy adult at 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70-75%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80-85%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95-100%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SpO2 of 95-100% is normal; below 90% is hypoxaemia requiring oxygen - targets differ for COPD (88-92%). Pulse oximetry is checked with the probe on a clean, well-perfused site.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safety precautions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smoking or open flames near oxygen, and avoiding oil-based products on the 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precautions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Using oxygen near gas stoves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Keeping oxygen cylinders upright but near heaters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Oxygen supports combustion - 'No Smoking' signs, no flames, no petroleum-based lubricants, and cylinders secured away from heat are essential safety measures.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nebulizer treatment delivers medication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suppository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fine mist of aerosolized drug inhaled over 10-15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Nebulizers convert liquid drug to mist for deep inhalation - the client breathes normally through a mouthpiece or mask; the unit is cleaned after each use to prevent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Incentive spirometry is used after surgery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pain medication need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atelectasis by encouraging slow, deep sustained breaths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Test lung capacity for a diagnosis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spirometer gives visual feedback for deep breathing, keeping alveoli inflated after anaesthesia/immobility - clients perform 10 breaths hourly while awake, splinting any incision.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after abdominal surgery is taught to splint the incision when coughing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bed clean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Hide the scar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Support the wound and reduce pain during effective coughing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Holding a pillow firmly over the incision supports the wound and lessens pain, allowing a deep, effective cough that clears secretions and prevents pneumonia.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Humidification of oxygen therapy is needed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Make the oxygen heavier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 the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Moisten the airways and prevent drying of the mucous membranes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Medical gases are dry - humidifiers add moisture at higher flows, preventing nasal dryness, crusting, and discomfort during prolonged oxygen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Tracheostomy care should be performed: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weekly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By the client's family without 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bare hands and tap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Using sterile technique, cleaning the stoma, and replacing the inner cannula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stoma and inner cannula are cleaned with sterile saline/gauze to prevent infection and obstruction; the skin is dried and the ties kept snug but not tight.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suctioning a tracheostomy,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Preoxygenate, insert the catheter without suction, and suction for no more than 10-15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suction while inserting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Suction for 2 full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the same catheter for the nose and stoma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Preoxygenation and brief, intermittent suction during withdrawal prevent hypoxia and mucosal injury; sterile single-use catheters and monitoring for bradycardia are standard.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CPAP (continuous positive airway pressure) is used primarily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Measuring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Obstructive sleep apnoea and respiratory support, keeping airways open with steady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Cooling the body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CPAP maintains positive pressure throughout the cycle - splinting the upper airway in sleep apnoea and improving oxygenation in respiratory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BiPAP differs from CPAP in that BiPAP: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only for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Delivers no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Gives the same pressure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Provides two pressure levels (higher during inspiration, lower during expiration)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Bi-level positive airway pressure - higher IPAP on inspiration, lower EPAP on expiration - eases the work of breathing in COPD exacerbations and acute respiratory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Venturi mask is used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precise, constant oxygen concentration (FiO2) is required, as in COPD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during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 eats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flow rate is acceptable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Venturi masks entrain room air through calibrated ports, delivering an exact FiO2 (24-50%) - vital for COPD clients where precise low oxygen is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Methotrexate, used in chemotherapy, requires monitoring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body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Bone marrow function, liver enzymes, and renal function; folic acid rescue may be used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Methotrexate - a folate antagonist - suppresses marrow and injures liver/kidneys; leucovorin (folinic acid) 'rescue' protects normal cells after high doses.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Doxorubicin (Adriamycin), an anthracycline, is known for its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Kidney stones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Cardiotoxicity (heart failure) at cumulative high doses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Anthracyclines damage the heart muscle - ejection fraction is monitored and cumulative dose limits set; the drug also causes red urine and tissue damage if it leaks (extravasation).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Cisplatin, a platinum chemotherapy agent, is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Nephrotoxicity and ototoxicity - hydration and renal monitoring are essential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Cisplatin damages kidneys and the eighth nerve - IV hydration before/after, urine output monitoring, and audiometry are standard precautions.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Vincristine, a vinca alkaloid, characteristically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Peripheral neuropathy (tingling, weakness, constipation)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Photosensitivity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Bladder cancer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Cardiac failure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Vincristine injures peripheral nerves - numbness, foot drop, and severe constipation; it is a vesicant (tissue damage on extravasation) and never given intrathecally.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Cyclophosphamide can cause haemorrhagic cystitis, which is prevented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Restricting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Plenty of fluids and frequent voiding (and mesna as ordered)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Hot baths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urination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drug's metabolite irritates the bladder - vigorous hydration, frequent emptying, and mesna (a uroprotectant) prevent bleeding from the bladder lining.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Ondansetron, used in chemotherapy, works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Blocking serotonin (5-HT3) receptors to prevent nausea and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Sedating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Lowering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Stimulating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Ondansetron - a 5-HT3 antagonist - blocks the vomiting reflex triggered by chemotherapy; it may prolong the QT interval and causes headache/constipation.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G-CSF (filgrastim) is given after chemotherapy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Raise haemoglobin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Stimulate neutrophil production, shortening the neutropenic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nausea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Filgrastim boosts bone marrow neutrophil counts after chemotherapy, reducing infection risk; bone pain is a common side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chemotherapy drug extravasates (leaks into tissue),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the infusion faster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heat for all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infusion, leave the needle in place, and follow the specific antidote protocol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area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Stop immediately, aspirate residual drug through the needle, then apply the agent-specific measure (heat/cold/antidote) and document - vesicants cause severe tissue necrosis if ignored.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Neutropenic precautions for a chemotherapy client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Sharing fresh flowers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Skipping hand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Hand hygiene, avoiding crowds and ill visitors, no raw foods, and prompt reporting of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Eating raw salads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 low neutrophils, any infection is dangerous - protective measures and immediate evaluation of fever (cultures, antibiotics) are life-saving.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fetal heart rate baseline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170 to 200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to 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to 90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110 to 160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baseline of 110-160 bpm is reassuring; tachycardia (&gt;160) may reflect maternal fever or fetal hypoxia, and bradycardia (&lt;110) needs prompt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Baseline variability of the fetal heart rate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sign of cord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normal fluctuation of the heart rate around the baseline, reflecting fetal wellbeing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abnormal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seen in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Moderate variability (6-25 bpm) - the wiggle in the tracing - shows a healthy, well-oxygenated fetal nervous system; absent variability with decelerations is concerning.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Meconium-stained amniotic fluid at delivery is a concern because of the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Meconium aspiration syndrome in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Placenta praevia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Polyhydramnios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Thick meconium suggests fetal stress - if inhaled, it can obstruct airways and cause chemical pneumonitis; airway suctioning is performed as per guidelines and the newborn observed.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Indications for induction of labour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transverse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healthy term pregnancy at 38 weeks by choice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Previous caesarean with classical scar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Prolonged pregnancy, prelabour rupture of membranes, preeclampsia, and fetal compromise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Induction is done when continuing the pregnancy risks mother or fetus more than delivery; contraindications include placenta praevia, transverse lie, and a classical uterine scar.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Prostaglandins (e.g., PGE2 gel) are used before induction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Deliver the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Dry up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Ripen (soften and dilate) the cervix, making it favourable for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Cervical ripening with prostaglandins improves the Bishop score so oxytocin induction succeeds; uterine hyperstimulation is a risk requiring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partograph is used during labour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Record only maternal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Chart cervical dilatation, descent, contractions, and fetal heart to detect abnormal progress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Record hospital bills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 the baby's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partograph - plotting dilatation against time with alert/action lines - identifies prolonged labour and guides timely referral, reducing obstructed labour and its disasters.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Uterine contractions during labour are assessed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maternal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Frequency, duration, and intensity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fetal movements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Contractions are palpated - frequency (start to start, e.g., every 3 minutes), duration (e.g., 45-60 seconds), and intensity (mild/moderate/strong) - to gauge labour progress.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Fetal scalp blood sampling is performed during labour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 fetal pH and confirm acidosis when the heart tracing is non-reassuring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maternal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amniotic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When fetal monitoring is equivocal, scalp pH (normal above 7.25) distinguishes a well fetus from one needing urgent delivery - it is done after membranes rupture and cervix is dilated.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Kernicterus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type of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heart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Bilirubin-induced brain damage from untreated severe neonatal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skin rash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Unconjugated bilirubin crosses the blood-brain barrier in neonates, staining the basal ganglia - leading to choreoathetosis, deafness, and developmental delay; phototherapy/exchange transfusion prevent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Respiratory distress syndrome (RDS) of the newborn is caused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anaemia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bacterial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Surfactant deficiency in preterm infants, causing alveolar collapse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 surfactant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Without surfactant the preterm alveoli collapse - grunting, retractions, and cyanosis within hours; antenatal steroids, surfactant replacement, and CPAP/ventilation treat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Surfactant therapy for RDS is given: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Through the umbilical vein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Subcutaneously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Intratracheally (into the lungs via the endotracheal tube)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Exogenous surfactant - a liquid instilled down the endotracheal tube - coats the alveoli and improves oxygenation within minutes; the baby is repositioned to distribute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Necrotizing enterocolitis (NEC) in a preterm infant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Abdominal distension, bloody stools, and feeding intolerance with pneumatosis on X-ray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cough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NEC - ischaemic gut injury in premature babies - needs bowel rest, antibiotics, and sometimes surgery; prevention focuses on cautious feeding and breast milk.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Meconium aspiration syndrome is managed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oral antibiotics to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Applying cold compresses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Feeding the baby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Suctioning, oxygen/ventilation support, and monitoring for air leaks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Aspirated meconium obstructs airways and inflames lungs - the baby may need suction, oxygen, surfactant, and ventilation; pneumothorax risk is watched for.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Neonatal sepsis is suspected when a newborn shows: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happy, alert appearance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temperature and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Fever or hypothermia, poor feeding, lethargy, and respiratory distress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Signs are subtle and non-specific - temperature instability, poor suck, irritability, apnea - so sepsis evaluation (cultures) and broad-spectrum antibiotics are started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Newborn screening detects conditions such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colds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Congenital hypothyroidism, phenylketonuria, G6PD deficiency, and sickle cell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fractures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Dried blood spot testing on day 2-3 identifies treatable disorders - early thyroid hormone replacement and diet therapy prevent irreversible disability.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Hypocalcaemia in a newborn is suggested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good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Warm extremities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Sleepiness with normal 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Jitteriness, twitching, and seizures with low serum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hypocalcaemia - common in preterms and infants of diabetic mothers - causes neuromuscular irritability; IV calcium gluconate is given slowly with cardiac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Pneumoconiosis is a general term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Eye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Lung diseases caused by inhalation of dust in the workplace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Heart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allergies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Pneumoconiosis - fibrosis of the lung from mineral dust - includes silicosis (silica), asbestosis (asbestos), and coal workers' pneumoconiosis (black lung).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Silicosis, seen in miners and stone workers, results from inhaling: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Cotton dust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Sugar dust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Cement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Silica dust, causing progressive lung fibrosis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silica inhalation triggers nodular fibrosis - cough and breathlessness years later; dust control, masks, and pre-employment screening protect workers.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Asbestos exposure is strongly linked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Mesothelioma and lung cancer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Cataracts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Asbestos fibres cause asbestosis, lung cancer, and mesothelioma - a rare cancer of the pleura; banning asbestos and protective gear are key preventive measures.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Noise-induced hearing loss is prevented in industry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 protection (earplugs/muffs), engineering controls, and audiometric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Wearing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Taking vitamins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Shouting less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noise above 85-90 dB damages cochlear hair cells irreversibly - control at source, ear protection, and regular audiometry are the standards.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Heat stroke, a medical emergency, is treated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Wrapping the client in blankets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Rapid cooling (cold water immersion/ice packs), IV fluids, and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Waiting for the temperature to fall on its 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hot tea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Heat stroke - core temperature over 40 degrees C with altered mentation - is fatal without rapid cooling; fluids, cooling, and organ support are given while temperature is lowered quickly.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Organophosphate pesticide poisoning is treated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Atropine and pralidoxime (oximes), plus decontamination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Organophosphates block acetylcholinesterase - salivation, lacrimation, urination, diarrhoea, and muscle weakness; atropine counters muscarinic effects and pralidoxime reactivates the enzyme.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First aid for a snake bite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Immobilizing the limb, keeping the victim calm and still, and urgent transport for anti-venom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Cutting the wound and sucking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Rubbing alcohol on the bite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Applying a tight tourniquet to cut blood flow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Snake bite care: reassure, immobilize below the heart, remove rings, do NOT cut/suck or use tourniquets, and reach a facility for anti-venom - the bite area is observed for swelling.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Intellectual disability is defined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learning difficulty only in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Physical disability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Temporary 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Significant limitations in intellectual functioning (IQ below 70) and adaptive behaviour starting before age 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Intellectual disability - deficits in reasoning, problem-solving, and daily living skills - is categorized mild, moderate, severe, and profound; early intervention and training improve function.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Conduct disorder in children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Talking too much in class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Bedwetting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repetitive, persistent pattern of violating rules and the rights of 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 worry about grades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Conduct disorder - aggression, destruction, deceit, and serious rule-breaking - needs family-based behavioural therapy; untreated, it predisposes to antisocial personality in adulthood.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Tourette syndrome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 stammer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Compulsive hand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Fear of heights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Multiple motor tics and at least one vocal tic lasting over a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Tourette - involuntary, repetitive motor and vocal tics (blinking, throat clearing, sometimes coprolalia) - peaks in childhood; habit reversal training and medication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Selective mutism is best described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language disorder from brain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Refusing to 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Consistently failing to speak in specific situations (e.g., school) while speaking elsewhere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Children with selective mutism speak freely at home but remain silent in school/social settings - anxiety-based; gradual exposure, positive reinforcement, and family involvement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kidneys are located: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Inside the pelvis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the chest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front of the intestines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Retroperitoneally, one on each side of the vertebral column at the T12-L3 level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bean-shaped kidneys lie behind the peritoneum on the posterior abdominal wall - the right slightly lower than the left because of the liver.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ureters transport urine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Pumping by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Rhythmic peristaltic contractions from the kidneys to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Muscular squeezing of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Gravity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Smooth-muscle peristalsis in the ureter pushes urine along every 10-30 seconds; stones block this flow, causing renal colic.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urinary bladder, which stores urine, has a normal capacity of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400-500 mL in an adult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litres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bladder holds roughly 400-500 mL; the urge to void begins around 150-250 mL, and the detrusor muscle contracts to empty it through the urethra.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Erythropoietin, the hormone that stimulates red blood cell production, is secreted by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Bone marrow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Kidneys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Kidney cells sense low oxygen and release erythropoietin, which drives marrow RBC production - chronic kidney disease causes anaemia from erythropoietin deficiency.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Contact precautions are used for clients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MRSA, C. difficile, and wound infections - gloves and gown for all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influenza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airborne diseases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Contact precautions - private room/cohort, gloves, gown, and dedicated equipment - prevent spread of resistant organisms and highly contagious skin/GI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Droplet precautions are required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Influenza, meningococcal meningitis, and pertussis - surgical mask within 1-2 metres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Chickenpox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Droplets travel short distances - a surgical mask and close-contact precautions suffice; TB, measles, and chickenpox (small particles) need AIRBORNE precautions with N95 and negative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Airborne precautions for tuberculosis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N95 respirator (or higher), a negative-pressure isolation room, and keeping the door closed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Open windows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surgical mask for everyone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TB bacilli travel in tiny droplet nuclei that stay suspended - respiratory protection (N95), negative pressure, and limiting entry protect staff and other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balanced diet is one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Avoids all fats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Consists of sweets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Contains only one food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Provides all nutrients - energy, protein, fats, vitamins, minerals, and fibre - in the right proportions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balanced diet meets daily needs from all food groups - cereals, pulses, vegetables, fruits, milk, and fats - in correct proportions for age, sex, and 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five basic food groups in the Indian dietary model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Cereals; pulses and legumes; vegetables and fruits; milk and milk products; fats and oils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rice, dal, and sweets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meat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ICMR dietary guidelines divide foods into these five groups; a varied intake across groups with controlled fat and sugar promotes health and prevents deficiency.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chi-square test is used to analyze: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Continuous means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Associations between categorical (nominal) variables, such as treatment and outcome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Growth curves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medians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Chi-square compares observed and expected frequencies in tables (e.g., vaccination status vs infection) to test whether variables are related.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Informed consent in nursing research requires: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explanation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Forcing participation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Payment to participate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Full information, voluntary participation, capacity to decide, and the right to withdraw anytime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Ethical research - participants are told the purpose, risks, and benefits, decide freely, and may withdraw without penalty; ethics committees review protocols first.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incident (occurrence) report is filed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Blame the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Charge the patient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Document an unexpected event (falls, medication errors) to analyze causes and prevent recurrence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Hide mistakes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incident report - completed separately from the medical record - triggers root-cause analysis and quality improvement, not punishment; it is confidential and risk-management focused.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NABH accreditation of a hospital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number of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Financial profit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building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Compliance with national quality and patient-safety standards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NABH (National Accreditation Board for Hospitals) certification - voluntary, standards-based - demonstrates quality care, patient rights, infection control, and continuous improvement.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Frequency of a sound wave, measured in hertz, determines its: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Pitch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Loudness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Higher frequency = higher pitch (a whistle vs a drum); loudness depends on amplitude, not frequency.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loudness of a sound depends mainly on its: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Wavelength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Amplitude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Larger amplitude means more energy and a louder sound - measured in decibels; frequency sets pitch.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echo is heard when sound: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too quiet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absorbed by soft materials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Passes through walls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Reflects back from a distant surface, needing about 17 m of distance to be distinct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reflects off large hard surfaces - the reflected wave returns after the original ends, giving an echo; soft materials absorb sound, preventing echoes.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Doppler effect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apparent change in frequency of a wave due to relative motion between source and observer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change in pitch from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Sound bending around corners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Light splitting into colours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approaching siren sounds higher-pitched and a receding one lower - used in radar, ultrasound blood-flow (echocardiography), and astronomy to measure motion.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intensity of sound is measured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Decibels (dB)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Decibels - a logarithmic scale - measure loudness: a whisper is about 30 dB, normal speech 60 dB, and prolonged exposure above 85 dB damages hearing.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Infrasound refers to sound waves with frequencies: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Above 20,000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Below 20 Hz (inaudible to humans)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Exactly 440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Between 20 and 20,000 Hz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Humans hear 20 Hz to 20,000 Hz - below 20 Hz is infrasound (elephants communicate this way) and above 20,000 Hz is ultrasound (bats, medical imaging).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audible range of human hearing is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0.1 to 1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Hz to 20,000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Hz to 10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kHz to 1 MHz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Healthy young adults hear 20-20,000 Hz; the upper limit falls with age (presbycusis), and ultrasound/infrasound lie outside this range.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Sound travels fastest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Empty space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Solids (e.g., steel), then liquids, then gases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speed rises with density and stiffness of the medium - about 5,000 m/s in steel, 1,500 m/s in water, and 343 m/s in air; it cannot travel in a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Noise pollution can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eye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concentration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loss, hypertension, sleep disturbance, and 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Bone fractures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loud noise damages hearing and raises stress hormones - blood pressure and sleep problems; noise limits, silencers, and green belts are control measures.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musical instrument, pitch is changed by altering: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colour of the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length, tension, or thickness of the vibrating part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performer's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temperature of the room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Short, thin, taut strings vibrate faster and produce higher pitch - guitar frets shorten the string, and flute holes change the air column length.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Bharatanatyam, one of India's classical dance forms, originated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Tamil Nadu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Bharatanatyam - from Tamil Nadu's temple tradition - features fixed 'adas' (stances), expressive abhinaya, and rhythmic footwork.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Kathakali, known for elaborate costumes and painted faces, is the classical dance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Manipur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Kathakali - Kerala's dance-drama - uses codified facial expressions (navarasas), mudras, and makeup to enact mythological stories.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Kuchipudi is the classical dance form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Andhra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Tamil Nadu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Kuchipudi - from Andhra's villages - blends dance, drama, and acrobatics (dancing on a brass plate, balancing a pot).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Odissi, with its characteristic 'tribhanga' (three-bend) posture, belongs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Maharashtra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Odissi - from the temples of Odisha - is marked by the S-curve tribhanga stance and lyrical, flowing movements.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Manipuri, a graceful classical dance, originates from: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Mizoram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Manipur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Nagaland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Meghalaya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Manipuri - rooted in Vaishnavism - uses soft, circular movements, with the 'Ras Lila' as its centrepiece.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Sattriya, the classical dance introduced by the saint-reformer Srimanta Sankardeva, belongs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Sikkim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Arunachal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Tripura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Sattriya - performed in Assam's Vaishnava monasteries (sattras) - was recognized as a classical dance form in 2000.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Indian classical music, the Hindustani tradition is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North India, while Carnatic music belongs to South India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Hindustani music (raga-based, with gharana traditions) flourishes in the north; Carnatic music - with its kriti compositions - is the southern tradition.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sitar is classified as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Plucked string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Keyboard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Wind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Percussion instrument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sitar - with gourd resonators and movable frets - is plucked with a wire plectrum (mizrab); the tabla and mridangam are percussion, and the flute is wind.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Bhangra, a high-energy folk dance, is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Maharashtra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Bhangra - Punjab's harvest dance with vigorous leaps and drumbeats - has become a global pop-cultural phenomenon.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Garba, danced in circles around a lamp during Navratri, is the folk dance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Bihar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Garba - Gujarat's vibrant circle dance with rhythmic clapping and dandiya sticks - celebrates the goddess during Navratri.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20% of 640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(20/100) x 640 = 128.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numbers are in the ratio 7:5 and their sum is 60. The smaller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Parts = 7 + 5 = 12; one part = 60/12 = 5; numbers are 35 and 25 - the smaller is 25.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7,500 at 10% per annum for 3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1,750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2,250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(7500 x 10 x 3)/100 = Rs 2,250.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36 km/h expressed in m/s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m/s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km/h to m/s: multiply by 5/18. 36 x 5/18 = 10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parallelogram with base 14 cm and height 9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23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63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126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base x height = 14 x 9 = 126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6, 11, 21, 36, 56,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Differences are 5, 10, 15, 20 (multiples of 5); next difference 25: 56 + 25 = 81.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A=1, B=2, C=3 and so on, how will ANT be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11240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11420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11420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14120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A=1, N=14, T=20, so ANT = 11420.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car travels 5 km South, turns left and travels 6 km East, then turns left and travels 5 km North. It is now: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km East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the start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5S + 6E + 5N cancels the north-south movement, leaving the car 6 km East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 is the husband of P. M is the father of N. N is the sister of O. How is P related to O?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Grandmother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 is M's wife and M is N and O's father; since N is O's sister, O is also M's child - so P is O's mother.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 March 2024 is a Friday, then 1 April 2024 is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March has 31 days; 31 = 4 weeks + 3 days; Friday + 3 = Monday.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