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cirrhosis of the liver is at highest risk for which complication?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Deep vein thrombosis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Hyperglycemia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Renal stones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Hepatic encephalopathy, ascites, and esophageal varices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Cirrhosis - scarring and loss of liver function - leads to portal hypertension with ascites and varices, and impaired ammonia detoxification causing hepatic encephalopathy.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notify the provider if a client taking lactulose for hepatic encephalopathy develops: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 and confusion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2-3 soft stools per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Severe diarrhea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bowel movement for 3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Lactulose acidifies the colon, trapping ammonia - the goal is 2-3 soft stools daily; less indicates underdosing, while severe diarrhea risks dehydration and electrolyte loss.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pancreatitis is placed on NPO. The primary reason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gastric acid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nausea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Decrease pancreatic stimulation and allow the pancreas to rest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Food stimulates pancreatic enzyme secretion - NPO, NG suction, and IV fluids reduce stimulation; pain management and monitoring for complications (necrosis, pseudocyst) follow.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duodenal ulcer most characteristically describes pain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Occurs 2-3 hours after meals and is relieved by food or antacids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worst immediately after 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sharp and continuous for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occurs at night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Duodenal ulcer pain is classic: gnawing epigastric pain 2-3 hours after meals, worse at night, relieved by food and antacids; gastric ulcer pain is worsened by food.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colostomy should be taught that the greatest dietary concern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Avoiding all fiber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Drinking no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Chewing food well and avoiding gas-forming foods to reduce flatus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Eating only liquids forever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Gas and odor are the main complaints - slow eating, chewing well, and identifying personal gas-forming triggers (beans, cabbage, carbonated drinks) help; fiber is actually encouraged in moderation.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Following a thyroidectomy, the nurse should keep which item at the bedside?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Tracheostomy tray and calcium gluconate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Wheelchair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Defibrillator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Ice packs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Post-thyroidectomy risks are airway obstruction from hemorrhage/edema (tracheostomy tray) and hypocalcemia from parathyroid injury (calcium gluconate) causing tetany and laryngospasm.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earliest sign of hypocalcemia after thyroid or parathyroid surgery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Tingling and numbness of the fingers and circumoral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Severe thirst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Perioral and fingertip paresthesias are the first signs of hypocalcemia - Chvostek and Trousseau signs follow, then muscle spasms and tetany; calcium is given promptly.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Addison's disease should be taught to increase dietary intake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Sugar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Potassium supplements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Protein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Salt (sodium) and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Addison's disease - adrenal insufficiency - causes sodium loss and hypotension; sodium and fluid intake are increased (and mineralocorticoid replacement given) to prevent crisis.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Cushing's syndrome is characterized by which classic physical finding?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Moon face, buffalo hump, and central obesity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Sallow pigmented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Severe weight loss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Muscle hypertrophy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Excess cortisol causes central obesity, moon face, buffalo hump, striae, hyperglycemia, osteoporosis, and poor wound healing - from exogenous steroids or adrenal/pituitary tumors.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diabetic ketoacidosis has a serum potassium of 5.8 mEq/L on admission. The nurse understands this is most likely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kidneys excreted no potassium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Acidosis shifts potassium out of cells into the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Insulin pushed potassium into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client ate too much potassium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DKA, hydrogen ions enter cells and potassium shifts out - total body potassium is actually DEPLETED, so as insulin and fluids are given, potassium drops and must be replaced to prevent hypokalemia.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method of temperature measurement is the most accurate reflection of core body temperature?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Axillary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rectal temperature is closest to core temperature (about 0.5 degree C higher than oral); tympanic and temporal are also reliable, axillary is the least accurate.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assessing an adult client, the nurse considers the normal resting pulse rate to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100-140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110-150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40-60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60-100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adult resting pulse is 60-100 bpm; trained athletes may be 50-60; above 100 is tachycardia and below 60 is bradycardia (unless athletic).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client's blood pressure is 150/94 mmHg. This is classified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Stage 2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Elevated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 ACC/AHA 2017 guidelines: normal below 120/80; elevated 120-129 and below 80 diastolic; stage 1 is 130-139/80-89; stage 2 is 140 or higher systolic or 90 or higher diastolic. 150/94 is stage 2 hypertension.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measuring a client's blood pressure with a cuff that is too small. The reading will most likely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Unreadable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Falsely 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Falsely high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Unaffected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cuff that is too narrow or too short overcompresses the artery, giving a falsely high reading; too large a cuff gives a falsely low reading.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client position is used to relieve orthopnea?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Trendelenburg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High Fowler's (sitting upright)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Flat supine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 Fowler's position (45-90 degrees) allows gravity to reduce venous return and ease lung expansion - essential for clients with dyspnea, orthopnea, or after thoracic surgery.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needs to give an enema to an adult client. The client should be positioned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Right lateral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Left lateral (Sims')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left lateral position lets gravity aid flow along the descending colon; the solution is warmed, the bag kept below 45 cm, and the client retains it as long as possible.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applying a condom catheter,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it to wet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a 2.5-5 cm gap between the glans and the sheath and secure without constriction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Tape directly over the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Pull the sheath tightly over the glans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gap prevents skin breakdown and ulceration; the sheath is applied to dry, clean skin and the retention ring is not too tight to avoid ischemia.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observes that a client's indwelling catheter bag is positioned above the level of the bladder.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Clamp the catheter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Lower the bag below the bladder to prevent backflow of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Raise it higher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it - position does not matter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drainage bag must stay below the bladder so urine does not reflux into the bladder, which causes infection; the bag is also kept off the floor.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nursing action best prevents surgical site infection during postoperative dressing change?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Strict sterile technique with clean gloves and sterile supplies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Changing the dressing hourly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Reusing the old dressing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Touching the wound with bare hands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Aseptic technique - hand hygiene, sterile gloves, sterile supplies, and the no-touch method - prevents introducing organisms into the wound.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atelectasis and pneumonia, a client in the immediate postoperative period should be turned, coughed, and deep-breathed every: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Once a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Every 30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Turning, coughing, and deep breathing every 2 hours while awake expands alveoli and clears secretions; incentive spirometry is used 10 times per hour while awake.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preparing to transfer a client from the bed to a wheelchair. The correct technique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Lift the client by the arms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Position the wheelchair far from the 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Lock the wheelchair brakes and position it at a 45-degree angle to the 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brakes unlocked for easy movement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Locked brakes and a 45-degree angle allow a safe pivot transfer with the client's stronger side leading; the nurse uses body mechanics and assist devices.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preparing to administer an IV infusion of potassium chloride. The correct technique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Add it directly to a blood transfusion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it as a rapid IV push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Infuse it at the fastest pump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give potassium as an IV bolus or push - it is always diluted and infused slowly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IV potassium is NEVER pushed - it is diluted in IV fluid and infused at a controlled rate (usually not above 10-20 mEq/hour peripherally) because rapid infusion causes fatal cardiac arrest.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atenolol has an apical pulse of 48 beats per minute.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Hold the dose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Double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the dose and monitor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the dose with food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Beta-blockers slow the heart rate - a pulse below 50-60 bpm is usually a hold parameter; the provider is notified for a possible dose adjustment.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question an order for which medication in a client with asthma?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Salbutamol (albuterol)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Propranolol (a non-selective beta-blocker)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Prednisolone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Ipratropium bromide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Non-selective beta-blockers can precipitate bronchospasm and are avoided in asthma; beta-2 agonists (salbutamol), steroids, and anticholinergics (ipratropium) are used to treat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drug is used as a bronchodilator in the immediate management of an acute asthma attack?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Oral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Beta-blockers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Inhaled short-acting beta-2 agonist (salbutamol)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Insulin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Inhaled SABA (salbutamol/albuterol) is first-line for acute bronchospasm - rapid onset, relaxes airway smooth muscle; steroids reduce inflammation, and oxygen is given for hypoxia.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isoniazid for tuberculosis. The nurse should teach the client to report: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Numbness and tingling of the hands and feet (peripheral neuropathy)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Slight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fatigue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INH causes peripheral neuropathy by interfering with vitamin B6 - pyridoxine is given with it; jaundice, dark urine, and fatigue would suggest hepatitis, also reportable.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taking oral contraceptives to report immediately: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Calf pain, chest pain, or severe headache - signs of thromboembolism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Spotting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Breast tenderness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nausea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OCPs increase thromboembolism risk - unilateral leg pain, chest pain, dyspnea, and severe headache require immediate evaluation; smoking raises the risk further.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phenytoin for seizures should be taught that the drug can 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Gum hyperplasia (overgrowth of the gums) - requiring good oral hygiene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Loss of all teeth overnight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Immediate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Permanent blindness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Phenytoin commonly causes gingival hyperplasia, hirsutism, and rash - gum massage and meticulous oral hygiene help; levels are monitored for toxicity (nystagmus, ataxia).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antidote for benzodiazepine overdose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Protamine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Atropine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Flumazenil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Naloxone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Flumazenil reverses benzodiazepine sedation; naloxone reverses opioids; atropine reverses cholinergic toxicity (e.g., organophosphates).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metformin should be taught to stop the drug and seek care if: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She develops severe vomiting and diarrhea or undergoes a contrast study - risk of lactic acidosis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She skips a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She feels slightly tired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Her blood sugar is normal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Metformin is held during acute illness, dehydration, renal dysfunction, and before contrast imaging to prevent lactic acidosis; renal function is checked before starting.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anterior fontanelle of a newborn normally closes by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2-3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12-18 months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anterior fontanelle - the diamond-shaped soft spot - closes between 12 and 18 months as the skull bones grow; the posterior fontanelle closes by 2-3 months.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at 36 weeks reports rhythmic uterine contractions every 6 minutes.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Tell her to push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Assess for true versus false labour - vaginal exam, fetal heart, and contraction pattern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her home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her a sleeping tablet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Contractions alone do not confirm labour - true labour contractions are regular, increase in frequency/duration, and produce cervical change; false labour (Braxton Hicks) stops with walking.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identifies that a labouring client is in the active phase of the first stage when the cervix is dilated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Fully dilated (10 cm)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 cm with pushing urge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About 4-6 cm with regular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stage has latent (0-3 cm, slow) and active (4-10 cm, rapid dilatation) phases; the second stage begins at full dilatation (10 cm) with the urge to push.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an early deceleration of the fetal heart rate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Maternal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Head compression during uterine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Placental insufficiency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Umbilical cord compression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Early decelerations - mirror-image slowing with the contraction - result from fetal head compression and are benign; variable decelerations indicate cord compression; late decelerations indicate uteroplacental insufficiency.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late deceleration on the fetal monitor indicates: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Head compression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fetal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Fetal hiccups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Uteroplacental insufficiency - the nurse should reposition, give oxygen, and notify the provider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Late decelerations begin after the contraction peak and reflect poor oxygen delivery - the priority interventions are left lateral positioning, IV fluids, oxygen, and stopping oxytocin while the provider is notified.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Variable decelerations of the fetal heart rate are caused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Umbilical cord compression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Fetal anemia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Maternal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Fetal head compression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Variable decelerations - abrupt V-shaped drops - indicate cord compression; repositioning the mother and amnioinfusion may relieve them; the classic response is to change maternal position.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rupture of membranes, the nurse should immediately: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 the fetal heart rate for cord prolapse and note fluid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Withhold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Perform a vaginal exam without gloves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the mother a bath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Rupture of membranes risks cord prolapse - FHR is assessed first, then fluid colour (clear, meconium-stained, or bloody) is documented; maternal temperature is monitored for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pregnant client to report which danger sign?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Heartburn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Vaginal bleeding, severe headache, or decreased fetal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Swelling of the feet in the evening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backache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Bleeding, severe headache with visual changes (pre-eclampsia), and decreased fetal movement are danger signs requiring immediate care; mild backache, heartburn, and evening foot swelling are common discomforts.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parents that the best method to prevent dental caries in a toddler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Avoiding all dental visits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Using sugar water in bottles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Avoiding bedtime bottles of milk or juice and cleaning teeth after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Giving sweets at bedtime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Nursing bottle caries results from prolonged bottle use at sleep - parents are taught to avoid bedtime bottles, brush/wipe teeth, and schedule dental visits.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3-year-old child is admitted with croup (laryngotracheobronchitis).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hot spicy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Force the child to lie flat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crying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child calm and use cool mist or humidified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Croup - barking cough, stridor, hoarseness - is eased by humidified air and minimizing agitation; severe cases need steroids and nebulized epinephrine.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suspect epiglottitis (a medical emergency) when a child presents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Sudden high fever, drooling, muffled voice, and tripod positioning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barking cough with hoarseness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runny nose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Low-grade fever and cough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Epiglottitis - rapid airway obstruction - shows the '4 Ds': drooling, dysphagia, distress, and dysphonia, with the child sitting forward (tripod); the throat is NEVER examined without airway equipment ready.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daily dose of oral vitamin A given to a child with xerophthalmia as part of treatment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500 IU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 IU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1,000 IU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200,000 IU (repeated next day and again after 4 weeks in severe cases)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WHO treatment schedule for xerophthalmia in children 12 months and older is 200,000 IU on day 1, day 2, and again at 4 weeks; younger children receive 100,000 IU.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diarrhea and some dehydration should be given: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Oral rehydration solution (ORS) after each loose stool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Carbonated drinks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Plain water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fluids for 24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ORS replaces water and electrolytes lost in diarrhea - 50-100 mL per loose stool for young children under 2 years, more for older children; zinc supplementation is also given for 14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accurate way to assess dehydration severity in a child with diarrhea is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Number of stools in one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of the child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Temperature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Skin turgor, mucous membranes, and urine output (WHO plan A/B/C criteria)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Clinical signs - skin turgor, sunken eyes, dry mouth, thirst, and urine output - classify dehydration as none, some, or severe; severe dehydration needs IV fluids (plan C).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severe dehydration and shock should receive which fluid first?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IV Ringer's lactate or normal saline, 20 mL/kg over 1 hour (WHO plan C)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Fruit juice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Full-strength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Severe dehydration is an emergency - rapid IV rehydration (20 mL/kg over 1 hour, repeated until pulse returns) is given, then ORS once the child can drink.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parents that a child with febrile convulsions is usually managed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Tying the child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Giving the child food during the seizure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Cooling measures and antipyretics while the fever is controlled - most febrile seizures are brief and benign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Cold water sponging with alcohol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Simple febrile seizures (6 months-5 years) are brief, generalized, and benign - management focuses on lowering fever (antipyretics, light clothing) and reassuring parents.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duration of exclusive breastfeeding and the timing of complementary feeding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Complementary foods from day 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Breastfeeding for 1 month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Exclusive breastfeeding for 6 months, then complementary foods with continued breastfeeding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cow's milk from birth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WHO/UNICEF recommend exclusive breastfeeding for the first 6 months and continued breastfeeding up to 2 years or beyond alongside appropriate complementary feeding from 6 months.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Mid-Day Meal Scheme in India primarily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uniforms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 the nutritional status of school-age children and increase school attendance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Replace all home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free textbooks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Mid-Day Meal (PM POSHAN) scheme provides cooked meals to school children - improving nutrition, reducing classroom hunger, and boosting enrolment and attendance.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the correct method to prepare ORS at home when packets are unavailable?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any dirty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Mix 6 level teaspoons of sugar and half a teaspoon of salt in 1 litre of clean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Add sugar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Mix 6 spoons of salt in 1 litre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Home-made ORS: 6 level teaspoons of sugar + half a teaspoon of salt in 1 litre of clean drinking water - too much salt or sugar worsens dehydration; packets are preferred.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identifies an outbreak of chickenpox in a village. The first step in outbreak investigation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Vaccinate the whole district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for the outbreak to end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Close all schools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Confirm the diagnosis and verify the existence of an outbreak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Outbreak investigation steps: confirm diagnosis, verify outbreak, define and identify cases, collect data, implement control measures (isolation, vaccination), and evaluate.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vertical transmission of HIV from mother to child can occur: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During pregnancy, labour and delivery, and breastfeeding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through hugging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Through mosquito bites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through kissing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HIV can pass in utero, intrapartum, and via breast milk - prevention uses maternal ART, safe delivery practices, and avoiding breastfeeding where replacement feeding is acceptable.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Immunization Schedule recommends the first dose of MMR vaccine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 months of 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MMR dose is given at 9 months (a second dose at 15 months); measles is dangerous in infancy, but maternal antibodies interfere with earlier vaccination.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'5 cleans' during childbirth promoted to prevent infection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Clean water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Clean clothes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 bed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Clean hands, clean perineum, clean delivery surface, clean cord cutting, and clean cord care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five cleans reduce maternal and newborn sepsis: clean hands, clean perineum, clean surface, clean cord-cutting instruments, and clean cord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depression tells the nurse, 'There is no point in living anymore.' The priority nursing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remark as attention-seeking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Assess for suicidal intent, plan, and means - implement suicide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Discharge the client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Tell the client to think positively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Any statement of hopelessness warrants a direct, non-judgmental suicide risk assessment (intent, plan, means, previous attempts) and protective measures if risk is present.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in the manic phase is at risk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Social withdrawal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Injury from hyperactivity and impulsive behavior, and exhaustion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 from bed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Sedentary behavior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Mania - euphoria, grandiosity, pressured speech, decreased sleep, impulsivity - risks physical injury, dehydration, and exhaustion; care includes structure, safety, and reduced stimulation.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therapeutic communication technique of restating means the nurse: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Gives advice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Repeats the client's message in the client's own words to confirm understanding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Changes the topic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Silently judges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Restating (paraphrasing) the client's exact words back encourages clarification and shows the client is heard - one of the core therapeutic communication techniques.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post-traumatic stress disorder is most likely to exhibit: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Grandiose delusions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Excessive sleep and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Complete amnesia of all events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Flashbacks, hypervigilance, and avoidance of trauma reminders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PTSD follows a traumatic event - re-experiencing (flashbacks, nightmares), avoidance, negative mood, and hyperarousal (startle, insomnia) for more than a month.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exchange of oxygen and carbon dioxide between the alveoli and the blood occurs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Osmosis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Filtration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Simple diffusion across the alveolar-capillary membrane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Active transport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Gas exchange is passive diffusion driven by partial pressure gradients - oxygen moves into blood and carbon dioxide moves out across the thin alveolar-capillary membrane.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hormone responsible for the 'fight or flight' response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Thyroxine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Parathyroid hormone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Adrenaline (epinephrine) from the adrenal medulla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Insulin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adrenal medulla releases adrenaline and noradrenaline - increasing heart rate, blood pressure, and blood glucose during stress; cortisol from the cortex handles long-term stress.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total number of permanent teeth in an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Adults have 32 permanent teeth (8 incisors, 4 canines, 8 premolars, 12 molars); children have 20 deciduous (milk) teeth.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structure connects the two cerebral hemispheres?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Cerebellum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Spinal cord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Corpus callosum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corpus callosum is the large band of nerve fibers connecting the left and right hemispheres, allowing communication between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agent of cholera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Vibrio cholerae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Salmonella typhi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Escherichia coli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Shigella dysenteriae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Cholera - rice-water stools and severe dehydration - is caused by Vibrio cholerae, transmitted by contaminated water; treatment is ORS and IV fluids, with antibiotics as adjuncts.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Malaria is transmitted by the bite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Aedes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Housefly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Female Anopheles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Culex mosquito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Plasmodium is transmitted by the female Anopheles mosquito; Aedes transmits dengue, chikungunya, and Zika; Culex transmits filariasis and Japanese encephalitis.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pathogen causes diphtheria?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Streptococcus pyogenes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Corynebacterium diphtheriae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Clostridium tetani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Mycobacterium tuberculosis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Corynebacterium diphtheriae produces an exotoxin causing a grey pseudomembrane in the throat and airway obstruction; DPT vaccine prevents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best dietary source of iodine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Iodized salt and sea fish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Iodized salt and seafood are the main iodine sources - deficiency causes goiter and cretinism; universal salt iodization is a key public health measure.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Marasmus and kwashiorkor are forms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Overhydration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Mineral 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Protein-energy malnutrition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PEM includes marasmus (severe wasting, all nutrients) and kwashiorkor (protein deficiency with edema, 'flaky paint' skin, and fatty liver) - both common in early childhood.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study that tests a new nursing intervention by comparing an experimental group with a control group is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Randomized controlled trial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Literature review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Survey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Case report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RCT randomly assigns subjects to intervention and control groups and is the gold standard for testing effectiveness; surveys describe, case reports narrate single cases.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research study, the group that receives no intervention and serves as the comparison is called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Sample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Experimental group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Control group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Population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control group provides the baseline for comparison; the experimental group receives the intervention; the sample is drawn from the population.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'5 rights' of delegation include the right task, right person, right communication, right supervision, and: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Right salary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hospital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Right circumstance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Right uniform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five rights: right task, right circumstance, right person, right direction/communication, and right supervision/evaluation - ensuring safe delegation.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Nursing audit is primarily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Punish nurses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patient load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Evaluate the quality of nursing care against established standards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Fix staff salaries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nursing audit reviews records and care against standards to measure and improve the quality of care - a core tool of quality assurance.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the SI unit of electric current?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Ampere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Electric current is measured in amperes; volt measures potential difference, ohm measures resistance, and watt measures power.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by which a solid changes directly into a gas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Condensation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Evaporation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Sublimation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Sublimation is the direct solid-to-gas transition (camphor, dry ice); evaporation is liquid to gas; condensation is gas to liquid.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deficiency causes scurvy?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Scurvy - bleeding gums, poor wound healing, and fatigue - results from vitamin C deficiency; rickets from vitamin D; night blindness from vitamin 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quick lime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CaSO4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Ca(OH)2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Quick lime is calcium oxide (CaO); slaked lime is Ca(OH)2; limestone is CaCO3; plaster of Paris is CaSO4.1/2H2O.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NOT a state of matter?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Liquid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Solid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Energy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Solid, liquid, gas, and plasma are states of matter; energy is not matter but a property or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speed of light in a vacuum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x 10^8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x 10^6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x 10^4 m/s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x 10^10 m/s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Light travels at about 299,792,458 m/s (3 x 10^8 m/s) in vacuum; sound travels at about 343 m/s in air - hence lightning is seen before thunder.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organ of the human body produces insulin?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Kidney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Pancreas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Beta cells of the pancreatic islets of Langerhans produce insulin; the liver stores glycogen, and the kidneys filter blood.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 of force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Newton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Joule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Pascal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Force is measured in newtons (kg.m/s^2); joule is energy/work; pascal is pressure; watt is power.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pure substance?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Sea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Distilled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Distilled water is a pure compound (H2O); sea water, milk, and air are mixtures of multiple substances.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of chromosomes in a normal human body cell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Humans have 46 chromosomes (23 pairs) in somatic cells - 22 pairs of autosomes and one pair of sex chromosomes; gametes have 23.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census of independent India was conducted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1961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1951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1931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census of independent India was held in 1951 - censuses have been conducted every 10 years since, under the Census of India Act.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animal of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Leopard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Elephant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Bengal tiger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Royal Bengal tiger is India's national animal; the peacock is the national bird, and the lotus is the national flower.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Satyagraha movement was launched by Mahatma Gandhi against which act in 1919?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Rowlatt 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Salt 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Government of India 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Vernacular Press Act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Gandhi launched the Satyagraha against the Rowlatt Act (1919), which allowed detention without trial; the Salt (Dandi) March followed in 1930.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United Nations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New York,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Paris,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Vienna, Austria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Geneva, Switzerland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UN headquarters is in New York; Geneva hosts WHO and other agencies; Vienna hosts IAEA and UNODC.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Indian state is known as the 'Land of Five Rivers'?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Punjab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Haryana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Bihar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Uttar Pradesh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Punjab - 'Panj-ab' meaning five waters - refers to the five tributaries of the Indus: Beas, Chenab, Jhelum, Ravi, and Sutlej.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Nobel Prize for Medicine was won by Sir Alexander Fleming for the discovery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Streptomycin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Quinine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Penicillin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Fleming discovered penicillin in 1928 and shared the 1945 Nobel with Florey and Chain; insulin was isolated by Banting and Best in 1921.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Dandi March in 1930 was undertaken to protest against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Land revenue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Cotton tax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Salt tax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Education fee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Gandhi's 390 km Dandi March (12 March-6 April 1930) broke the salt law - the Salt Satyagraha protested the British monopoly and tax on salt.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peacetime gallantry award of India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Padma Shri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Param Vir Chakra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Ashoka Chakra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Arjuna Award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Ashoka Chakra is India's highest peacetime gallantry award; the Param Vir Chakra is the highest gallantry award during war.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'First War of Indian Independence' in 1857 began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Lucknow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Meerut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Kanpur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revolt began at Meerut on 10 May 1857 when sepoys refused the greased cartridges and marched to Delhi - it spread across northern India.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Ganges River originates from which glacier?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Zemu glacier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Siachen glacier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Pindari glacier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Gangotri glacier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Ganga rises from the Gangotri glacier (Gaumukh) in Uttarakhand; the Yamuna rises from the Yamunotri glacier.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length and breadth of a rectangle are 12 cm and 8 cm respectively, its area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96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48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Area = length x breadth = 12 x 8 = 96 sq cm; perimeter would be 2(12+8) = 40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buys 10 pens for Rs 80 and sells each pen for Rs 10. His profit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Cost per pen = Rs 8, selling price per pen = Rs 10, profit = Rs 2; profit % = 2/8 x 100 = 25%.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LCM of 12, 18, and 24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12 = 2^2 x 3, 18 = 2 x 3^2, 24 = 2^3 x 3; LCM = 2^3 x 3^2 = 72.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car covers 180 km in 3 hours. Its average speed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Speed = distance/time = 180/3 = 60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30% of a number is 45, the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0.30 x N = 45, so N = 45/0.30 = 150.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3, 9, 27, 81,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324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is multiplied by 3 - 81 x 3 = 243.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'PAPER' is coded as 'QBQFS', how is 'PEN' coded?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QFM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OFM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QEO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QFO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letter shifts +1: P-&gt;Q, E-&gt;F, N-&gt;O, so PEN becomes QFO.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row of children, Ravi is 7th from the left and 9th from the right. How many children are in the row?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= position from left + position from right - 1 = 7 + 9 - 1 = 15.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odd one out: Apple, Mango, Potato, Banana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Potato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Mango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Banana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Potato is a vegetable (tuber); the others are fruits.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day after tomorrow is Sunday, what day is today?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Saturday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Friday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If day after tomorrow is Sunday, tomorrow is Saturday, so today is Friday.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