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liver cirrhosis develops ascites. The nurse should position the client to promote respiratory comfort in which position?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Trendelenburg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Semi-Fowler's or Fowler's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Flat supine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Ascites pushes up the diaphragm and restricts breathing - an upright (Fowler's) position eases respiration; sodium restriction, diuretics, and paracentesis manage the ascites.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hepatic encephalopathy has flapping tremors of the hands. This sign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Babinski sign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Trousseau sign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Chvostek sign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Asterixis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Asterixis - 'liver flap' - is a hallmark of hepatic encephalopathy from ammonia accumulation; lactulose and protein restriction are part of management.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a client with gallstones to limit which foods?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Whole grains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Vegetables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Fruits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High-fat and fried foods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Fat triggers gallbladder contraction and biliary colic - a low-fat diet is advised; gallstones are often managed with cholecystectomy.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cholecystitis complains of pain after eating fatty food. The pain typically radiates to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Left leg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Front of the chest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Lower back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Right shoulder and scapula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Biliary pain - from gallstones or cholecystitis - localizes to the right upper quadrant and radiates to the right shoulder/scapula, often after fatty meals.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admitted with acute appendicitis. The nurse should monitor for which sign of perforation?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temperature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Increased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Steady mild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Sudden relief of pain followed by generalized abdominal pain and rigidity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Perforation of the appendix - sudden pain relief then diffuse peritonitis with rigidity, fever, and tachycardia - is a surgical emergency requiring immediate appendectomy.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peritonitis is NPO with an NG tube. The nurse understands that NG suction is used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Feed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Measure urine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Decompress the bowel and prevent aspiration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Peritonitis paralyzes the bowel - NG suction decompresses the gut, prevents vomiting and aspiration, and prepares for surgery; fluids and antibiotics are given IV.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intestinal obstruction has projectile vomiting of bile. This most likely indicates obstruction at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Descending colon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Proximal small bowel (high obstruction)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Anal canal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Rectum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High (proximal) obstruction causes early, frequent, projectile vomiting; low obstruction causes distension, constipation, and faecal vomiting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diverticulitis is advised to avoid which foods during the acute phase?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Nuts, seeds, and popcorn (high-fibre residues)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Clear liquids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Mashed potatoes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Boiled rice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During acute diverticulitis a low-fibre (low-residue) diet reduces colonic irritation - nuts, seeds, and popcorn are avoided; fibre is added after recovery.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inflammatory bowel disease is prescribed mesalamine. The nurse should teach the client to report: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Worsening diarrhoea, bleeding, or abdominal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Normal stools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Improved appetite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Mesalamine (5-ASA) treats ulcerative colitis/Crohn's - worsening symptoms, blood in stool, or new pain require evaluation; renal function is also monitored with long-term use.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Crohn's disease is at risk for which nutritional deficiency?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C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Carbohydrates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Sodium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B12, iron, and fat-soluble vitamins (terminal ileum involvement)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Crohn's often affects the terminal ileum - the site of B12 and bile acid absorption - causing B12 deficiency, fat malabsorption, and anaemia; supplements and monitoring are needed.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preparing to administer an intramuscular injection of 2 mL to an adult. Which site is the most appropriate?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Ventrogluteal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Intradermal forearm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Deltoid (1 mL limit)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Subcutaneous abdomen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ventrogluteal accommodates up to 3-4 mL in adults; the deltoid is limited to about 1 mL, so 2 mL goes to the ventrogluteal or vastus lateralis.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administer subcutaneous heparin at which site?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deltoid IM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wrist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sole of the foot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Abdomen (2 inches from the umbilicus), rotating sites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Heparin is given subcutaneously in the abdomen - 2 inches away from the umbilicus - with site rotation, and the injection site is NOT massaged (bruising and haematoma risk).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drawing up insulin from a vial,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Use a 5 mL syringe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Shake the vial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Roll cloudy insulin, wipe the stopper with alcohol, and withdraw the correct units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Skip the alcohol wipe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Cloudy insulins (NPH) are gently rolled to resuspend, the rubber stopper is wiped with alcohol, and the dose is drawn with an insulin syringe; two insulins are drawn clear-first when mixed.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administers a medication and the client immediately develops facial swelling and stridor.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Wait and watch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the drug, call for help, and prepare epinephrine (anaphylaxis)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more of the drug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Leave the room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Facial swelling and stridor signal anaphylaxis - the drug is stopped, emergency response activated, epinephrine IM given, and airway and circulation supported.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document a medication error immediately because: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Accurate documentation ensures timely treatment and legal transparency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It hides the error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It delays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Records are optional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Errors are documented factually per policy - including the drug, dose, route, time, and client response - so that assessment and corrective action follow promptly.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prescribed a warm moist compress. The nurse should apply it for how long?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15-20 minutes, then reassess the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 hours continuously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All 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Warm moist compresses are applied for 15-20 minutes and the skin is checked between applications to prevent burns and maceration.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applies a cold pack to a client's sprained ankle. The correct schedule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Once for 1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Continuously for 12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15-20 minutes on, with the pack off for the same time between applications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Cold therapy constricts vessels and reduces swelling - 15-20 minutes on/off cycles prevent tissue damage (frostbite); heat is avoided in the first 48 hours.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fever of 39.5 degree C is shivering.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Remove excess blankets, give antipyretics, and offer fluids while monitoring temperature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Add more blankets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a freezing bath without warning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Withhold all fluids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Shivering with fever - the body raising its set point - is managed by antipyretics, light coverings, fluids, and sponging as ordered; temperature is rechecked frequently.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is measuring intake and output. Which item should be counted as fluid intake?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IV fluids, oral fluids, and foods liquid at room temperature (soup, gelatin)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tea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Intake includes all oral fluids, IV fluids, NG/enteral feeds, and foods that liquefy (gelatin, soup, ice cream); output includes urine, vomitus, stool, and drainage.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place a client with a wound on the foot in which position to promote venous drainage?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Keep the foot flat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Hang the foot below the bed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Dangle the foot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Elevate the foot above heart level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Elevation uses gravity to reduce edema and improve venous return - promoting wound healing; the foot is also protected from pressure.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important precaution to prevent the spread of infection in a hospital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Wearing gloves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Antibiotics for all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Closing all doors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Hand hygiene before and after every client contact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Hand hygiene - with soap and water or alcohol rub - is the single most effective measure against hospital-acquired infections; gloves are used when exposure is likely.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warfarin has an INR of 5.5 (target 2-3).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Double the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more warfarin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Hold the dose, notify the provider, and prepare for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Continue as ordered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 INR of 5.5 is above the therapeutic range and risks bleeding - the dose is held, the provider notified, and vitamin K may be given for reversal.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warfarin should be taught to avoid which medication without consulting the provider?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Aspirin and NSAIDs (increase bleeding risk)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Antacids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Paracetamol occasionally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Vitamins as directed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Aspirin and NSAIDs impair platelets and irritate the stomach - combining them with warfarin sharply increases bleeding risk; even occasional use is discussed with the provider.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prescribed low-molecular-weight heparin (enoxaparin). The nurse should teach the client that it is given: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Intramuscularly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Orally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Subcutaneously and requires no routine laboratory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Intravenously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Enoxaparin is given subcutaneously with predictable dosing - no routine aPTT monitoring is needed (unlike unfractionated heparin); it prevents DVT and PE.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an antiplatelet drug (clopidogrel) should be taught to report: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Bleeding that is hard to stop, black stools, or blood in urine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Improved energy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Normal appetite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Clopidogrel inhibits platelet aggregation - signs of bleeding (easy bruising, dark stools, haematuria) are reported; the drug is not stopped without provider advice.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a client taking a potassium-sparing diuretic (spironolactone) to avoid: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Potassium supplements and salt substitutes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Walking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Bananas in normal amounts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Spironolactone retains potassium - extra potassium from supplements or salt substitutes causes dangerous hyperkalemia; routine diet is otherwise fine.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digoxin has a serum potassium of 3.1 mEq/L.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the digoxin with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the digoxin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Double the digoxin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Hold the digoxin and notify the provider - hypokalemia increases toxicity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Low potassium potentiates digoxin toxicity even at therapeutic levels - the dose is held until potassium is corrected and the provider informed.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question an order for which drug in a client with bradycardia?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Beta-blockers (e.g., metoprolol)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Antacids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Diuretics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ACE inhibitors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Beta-blockers slow the heart rate - in significant bradycardia (pulse below 50-60) they are held or questioned; they are also avoided in decompensated heart failure.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amiodarone for dysrhythmias should be taught to report: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Weight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Improved heart rhythm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 energy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Cough, dyspnea, or vision changes (pulmonary and ocular toxicity)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Amiodarone - a powerful antiarrhythmic - can cause pulmonary fibrosis, corneal deposits, thyroid dysfunction, and liver damage; annual monitoring and prompt reporting of new symptoms are essential.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monitor a client on IV furosemide for which adverse effect?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Hypertension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Hyperkalemia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Hypokalemia, hypotension, and ototoxicity (rapid IV push)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Constipation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IV loop diuretics cause rapid potassium loss, volume depletion with hypotension, and (with fast push) tinnitus and hearing loss - the infusion is given slowly and electrolytes monitored.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a pregnant client that folic acid supplementation is most critical during which period?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first trimester (neural tube formation)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Postpartum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third trimester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neural tube closes by about 28 days of gestation - folic acid (400 mcg daily) is most protective when started before conception and continued through the first trimester.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pregnant client at 28 weeks has a blood pressure of 150/100 mmHg with protein in the urine.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Hypotension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Pre-eclampsia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 pregnancy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Anaemia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Hypertension with proteinuria after 20 weeks defines pre-eclampsia - the nurse monitors BP, urine protein, reflexes, and foetal wellbeing and reports immediately.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severe pre-eclampsia is started on magnesium sulfate. The nurse should keep which antidote at the bedside?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Naloxone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Flumazenil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Calcium gluconate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Calcium gluconate reverses magnesium toxicity (loss of reflexes, respiratory depression) - it is always kept ready when magnesium sulfate is infusing.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eclampsia has a seizure.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Protect the airway, turn the client to the side, and give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Restrain the limbs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Insert a tongue blade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oral fluids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During an eclamptic seizure - airway protection, side-lying, oxygen, and safety are priorities; magnesium is given/repeated and the provider called; nothing is forced into the mouth.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a postpartum client that lochia rubra normally lasts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3-4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3-4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24 hours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Lochia rubra (bright red) lasts 3-4 days, becomes serosa (pink-brown) around day 4-10, and alba (whitish) up to 6 weeks - heavy bleeding or large clots are abnormal.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6 hours after a normal vaginal delivery has a fundus that is firm and at the level of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Symphysis pubis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Xiphisternum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Mid-thigh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Umbilicus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postpartum fundus descends about 1 cm (one fingerbreadth) per day - at the umbilicus immediately after delivery, reaching the pelvis by about day 10-14.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postpartum haemorrhage is being resuscitated. The nurse should monitor which parameter first?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Vital signs, urine output, and ongoing blood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the weight of the baby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Skin elasticity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Hair colour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PPH resuscitation - oxygen, IV fluids/blood, oxytocin and uterotonics, and close monitoring of vitals and urine output - prevents shock and organ failure.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breastfeeding mother asks about contraception. The nurse should explain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Breastfeeding always prevents pregnancy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method is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Lactational amenorrhea protects only if the baby is fully breastfed, the mother is amenorrhoeic, and the baby is under 6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condoms work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lactational amenorrhoea method (LAM) is reliable only with exclusive breastfeeding, no menses, and an infant under 6 months; other methods are added when these lapse.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is observed to have a high-pitched cry, irritability, and poor feeding.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Teething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Colic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Neonatal sepsis or hypoglycaemia - further assessment is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Normal newborn behaviour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high-pitched cry with irritability and poor feeding are red flags for sepsis, hypoglycaemia, or CNS problems in a newborn - vital signs, glucose, and infection work-up follow.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parents that a newborn should be bathed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soap without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Warm water and mild soap, with the room warm and the bath short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Cold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Hot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Newborns lose heat quickly - a warm room, warm water, and a brief bath prevent hypothermia; the cord stump is kept dry and clean.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oral thrush (candidiasis) is prescribed nystatin. The nurse should teach the mother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the suspension to the lesions with a swab after 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Mix it with honey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it only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Skip doses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Nystatin suspension is painted onto the oral lesions after feeds so it is not immediately swallowed; equipment (bottles, pacifiers) is sterilized to prevent reinfection.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is admitted with severe acute malnutrition. The nurse should monitor for which complication during feeding?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Weight gain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Overhydration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Refeeding syndrome (hypophosphatemia, heart failure)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Refeeding malnourished children too fast causes dangerous drops in phosphorus and potassium with heart failure - feeds are started small and frequent (F-75/F-100 formula) with monitoring.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vitamin A deficiency has Bitot's spots. These are seen in which part of the eye?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Conjunctiva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Cornea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Retina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Bitot's spots - foamy grey-white patches on the conjunctiva - are a sign of xerophthalmia in vitamin A deficiency; treatment is high-dose vitamin 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1-year-old child with severe iron deficiency anaemia is prescribed iron drops. The nurse should teach the mother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Mix it with large amounts of 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the iron between feeds and avoid tea/milk at the same 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it with tea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it only at bedtime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Iron is absorbed best on an empty stomach - tea, milk, and antacids reduce absorption; vitamin C (orange juice) enhances it, and stools will look dark.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cerebral palsy should be positioned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Remain in one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Prevent contractures and pressure sores with frequent position changes and range-of-motion exercises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Avoid all movement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Sleep on hard surfaces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Cerebral palsy care - positioning, passive ROM, splinting, nutrition support, and seizure management - prevents contractures, skin breakdown, and aspiration.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nephrotic syndrome is on steroids and develops chickenpox.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Ignore the rash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Notify the provider immediately - steroids increase the risk of severe varicella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Continue steroids unchanged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more steroids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Immunosuppressed children on steroids can develop severe, disseminated chickenpox - the provider may give varicella-zoster immunoglobulin or antivirals, and steroids are reassessed.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'National Nutrition Mission' (Poshan Abhiyaan) primarily aims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Eradicate malnutrition among children and pregnant/lactating women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Build hospitals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Fund schools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Promote tourism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Poshan Abhiyaan - the Prime Minister's nutrition mission - targets stunting, wasting, and anaemia through supplementation, behaviour change, and convergence of services.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'growth chart' used under the national programme is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chart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WHO growth standards (weight-for-age, height-for-age)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drawing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Old local charts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WHO child growth standards - weight, height, and BMI for age - are plotted monthly to detect growth faltering early and trigger nutrition counselling.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growth chart shows a flat or falling weight line over two visits.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Assess the child and family for causes and refer or counsel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Wait a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Ignore the chart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 weighing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Growth faltering - a flat or descending line - flags undernutrition or illness; early assessment, feeding counselling, and referral prevent severe malnutrition.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'ASHA' worker under NHM receives performance-based incentives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Collecting taxes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Building roads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Promoting institutional delivery, immunization, and family planning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Selling medicines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ASHAs are incentivized for achieving health outcomes - antenatal care, institutional delivery, immunization, and contraception - making them the link between community and services.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a community that the best method to prevent hepatitis 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Isolation of everyone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Avoiding all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Safe water, sanitation, and vaccination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Antibiotics for all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Hepatitis A - faecal-oral spread - is prevented by safe drinking water, hygiene, and the hepatitis A vaccine; it is not prevented by antibiotics.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'Directly Observed Treatment, Short-course' (DOTS) strategy is used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Dengue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Diabetes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Malaria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Tuberculosis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DOTS - the WHO TB strategy - provides supervised, standardized multidrug therapy to ensure cure and prevent drug resistance.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village health nurse identifies a suspected TB case. The first step in management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antibiotics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Do nothing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Refer for sputum examination and diagnosis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Isolate forever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suspected TB case is referred for sputum smear/molecular testing (CBNAAT) - diagnosis is confirmed before starting the DOTS regimen.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schizophrenia says, 'I am the king of the universe.' This is an example of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Obsession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Hallucination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Phobia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Grandiose delusion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grandiose delusion - an inflated belief about one's power or identity - is common in schizophrenia and mania; it is a false fixed belief, not a perception.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respond to a client's delusion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Ignoring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Staying reality-based without arguing or agreeing with the delusion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Agreeing fully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Challenging angrily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nurse neither argues with nor confirms the delusion - a neutral, reality-based response ('I do not see that, but I understand you believe it') maintains trust and safety.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anxiety has difficulty concentrating and sleeps poorly. The nurse should plan activities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Keep the client isolated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Provide structure, calm, and achievable goals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 noise and chaos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Are highly competitive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Anxiety care - predictable schedules, relaxation techniques, and achievable tasks - reduces arousal; caffeine and stimulants are limited.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a client taking a benzodiazepine that the drug may cause: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Permanent memory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Deafness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Hair growth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Drowsiness, dependence, and withdrawal if stopped suddenly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Benzodiazepines cause sedation and can lead to tolerance and dependence - they are tapered, not stopped abruptly, and the client avoids driving or machinery while sedated.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'pacemaker' of the heart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Atrioventricular (AV) node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Sinoatrial (SA) node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Purkinje fibres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Bundle of His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SA node - in the right atrium - initiates each heartbeat at 60-100/min; the AV node delays the impulse; Purkinje fibres spread it to the ventricles.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exchange of nutrients and waste between blood and tissues occurs in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Capillaries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Venules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Arteries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Veins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Capillaries - thin-walled microscopic vessels - are the site of exchange; arteries carry blood away from the heart and veins return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white blood cell count in an adult is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50,000 per cubic mm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100-200 per cubic mm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4,000-11,000 per cubic mm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1,00,000 per cubic mm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Normal WBC is 4,000-11,000/mm3 - above is leukocytosis (infection) and below is leukopenia (immunosuppression); platelets are 1.5-4.5 lakh/mm3.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hormone lowers blood glucose by promoting glucose uptake into cells?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Adrenaline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Glucagon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Cortisol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Insulin - from pancreatic beta cells - lowers glucose; glucagon raises it; cortisol and adrenaline are counter-regulatory hormones.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causative agent of syphilis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Neisseria gonorrhoeae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Human papillomavirus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Treponema pallidum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Chlamydia trachomatis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Syphilis - a sexually transmitted infection - is caused by Treponema pallidum (a spirochete); it progresses through primary chancre, secondary rash, latent, and tertiary stages.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'window period' in HIV testing is defined as the time between: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Testing and results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Exposure and death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Symptoms and recovery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Infection and the appearance of detectable antibodies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During the window period (about 2-12 weeks with older tests) antibodies are undetectable despite infection - antigen and nucleic acid tests shorten this gap.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HIV has a CD4 count of 150 cells/mm3. The nurse should monitor the client most closely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Opportunistic infections (PCP, candidiasis, TB)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Improved immunity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Normal skin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CD4 count below 200 defines AIDS - opportunistic infections and prophylaxis (cotrimoxazole) and ART are priorities; the nurse also monitors for side effects of ART.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body mass index (BMI) range for a healthy adult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40-45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10-15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18.5-24.9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30-35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BMI 18.5-24.9 is normal; below 18.5 is underweight; 25-29.9 overweight; 30 and above obese - BMI = weight in kg / height in m squared.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best way to prevent iron deficiency anaemia in adolescent girls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eating sweets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Avoiding vegetables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Drinking tea with every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Weekly iron-folic acid supplementation and iron-rich diet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Adolescent girls are at high anaemia risk - weekly IFA supplementation (WIFS programme), iron-rich foods, and vitamin C with meals prevent and correct deficiency.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research design in which neither the participants nor the researchers know who receives the treatment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Cohort study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Case series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Open trial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Double-blind trial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 a double-blind trial both parties are blinded - eliminating bias; single-blind blinds only the participants; open trials blind no one.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'pilot study' in research is conducted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Skip data collection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Publish the final results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Guarantee positive results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Test the feasibility, tools, and procedures on a small sample before the main study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pilot study runs the protocol on a small group to identify problems with tools, timing, and feasibility - refinements are made before the main study.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'span of control' in management refers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length of the hospital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size of the building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width of the 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number of subordinates a manager can effectively supervise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Span of control - the number of direct reports - balances workload and supervision; too wide a span reduces oversight and too narrow wastes management capacity.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primary purpose of a 'nursing care plan'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Replace the doctor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Satisfy paperwork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Provide individualized, goal-directed care and continuity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 confusion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Care plans - based on the nursing process - identify problems, goals, and interventions, guiding and documenting individualized care across shifts.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the SI unit of electric charge?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Ohm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Volt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Coulomb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Ampere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Electric charge is measured in coulombs; current in amperes (coulombs/second); potential in volts; resistance in ohms.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gas that is essential for combustion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Nitrogen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Carbon dioxide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Hydrogen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Oxygen supports combustion - fire extinguishers and blankets cut off the oxygen supply; nitrogen and CO2 do not support burning.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deficiency of which vitamin causes beri-beri?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B1 (thiamine)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Thiamine deficiency causes beri-beri - with weakness, neuropathy, and heart failure; it is common in alcoholics and polished-rice diets.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the chemical formula of sulphuric acid?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H2SO4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HNO3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H2CO3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HCl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Sulphuric acid is H2SO4 - the king of chemicals; HCl is hydrochloric, HNO3 is nitric, H2CO3 is carbonic acid.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colour of the sky during the day appears blue because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Reflection from the sea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Cloud formation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Ozone absorption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Scattering of sunlight by atmospheric molecules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Rayleigh scattering - blue light is scattered most by air molecules - makes the sky blue; at sunset, longer paths scatter blue away, leaving red.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human brain weighs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1.3-1.4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100 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 kg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adult brain weighs about 1.3-1.4 kg and uses about 20% of the body's oxygen and glucose.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instrument used to measure electric current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Voltmeter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Ammeter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Barometer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Hygrometer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 ammeter measures current (connected in series); a voltmeter measures potential difference (in parallel); a barometer measures pressure.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element essential for the formation of thyroid hormones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Zinc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Calcium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Iodine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Iodine is required for thyroxine (T4) and triiodothyronine (T3) synthesis - deficiency causes goitre and hypothyroidism.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'biological unit of heredity'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Gene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Tissue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Cell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Organ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Genes - segments of DNA - carry hereditary information from parents to offspring; they are located on chromosomes in the nucleus.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planets is closest to the Sun?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Mercury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Earth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Venus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Mercury is closest to the Sun; Venus is the hottest planet due to its greenhouse atmosphere.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'Hornbill Festival' is celebrated in which state?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Nagaland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Rajasthan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Kerala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Punjab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Hornbill Festival - the 'festival of festivals' - is held in Nagaland every December, showcasing Naga culture.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'Magnetic Hill' in India is located in which state?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Assam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Kerala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Ladakh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Goa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Magnetic Hill near Leh, Ladakh, is an optical illusion where a slight downhill slope appears uphill.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'Indus Valley Civilisation' was discovered first at which site?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Dholavira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Mohenjo-daro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Lothal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Harappa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Harappa (Punjab, now Pakistan) was excavated in the 1920s and gave the civilisation its name; Lothal (Gujarat) is famous for its dockyard.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'National Emblem' of India is adopted from the Sarnath Lion Capital of which emperor?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Chandragupta Maurya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Ashoka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Harsha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Akbar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National Emblem - four lions on an abacus - comes from the Ashokan Lion Capital at Sarnath, with 'Satyameva Jayate' below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'Rann of Kutch' is famous for which festival?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Bihu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Pongal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Rann Utsav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Onam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Rann Utsav - a white desert cultural festival - is held in the Rann of Kutch, Gujarat; Pongal is Tamil Nadu's harvest festival.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'Brahmaputra' river enters India from which country?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Myanmar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Nepal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Bhutan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China (Tibet)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Brahmaputra - called Tsangpo in Tibet - enters Arunachal Pradesh from China, then flows through Assam and Bangladesh as the Jamuna.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'National Voters' Day' is celebrated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 October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26 January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 August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25 January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National Voters' Day (25 January) - the day before Republic Day - promotes voter awareness and enrolment; the EC was established the same day in 1950.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'Bihu' festival is associated with which state?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West Bengal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Assam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Manipur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Odisha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Bihu - the Assamese New Year harvest festival - has Rongali (April), Kongali (October), and Bhogali (January) forms.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'Chauri Chaura' incident (1922) led Mahatma Gandhi to call off which movement?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Quit India Movement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Salt Satyagraha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Civil Disobedience Movement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Non-Cooperation Movement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After police were killed at Chauri Chaura, Gandhi suspended the Non-Cooperation Movement in 1922 - the Civil Disobedience and Salt Satyagraha came later (1930).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'Pushkar Fair' is held in which state?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Haryana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Gujarat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Rajasthan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Madhya Pradesh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Pushkar Camel Fair - one of the world's largest cattle fairs - is held in Pushkar, Rajasthan, around Kartik Purnima.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value of 3/4 + 5/8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8/12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2/4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15/8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11/8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Common denominator 8: 6/8 + 5/8 = 11/8.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ratio of boys to girls in a class is 3:2 and there are 60 students, the number of boys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Total parts = 5; boys = 3/5 x 60 = 36; girls = 24.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discount of 20% on a marked price of Rs 750 gives a selling price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700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550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600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650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Discount = 20% of 750 = 150; SP = 750 - 150 = Rs 600.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pipe fills a tank in 6 hours and another empties it in 9 hours. If both are open, the tank fills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18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 hours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Net rate = 1/6 - 1/9 = 1/18 per hour - the tank fills in 18 hours.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square of 35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1325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1125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35^2 = 1225 (3 x 4 = 12, append 25 - the trick for numbers ending in 5).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Complete the series: 1, 1, 2, 6, 24,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72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Factorials: 1!, 2!, 3!, 4!, 5! = 1, 2, 6, 24, 120 - next is 6! = 720, but 5! = 120 is the term.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'GREEN' is coded as 'H S F F O' (each letter +1), how is 'PINK' coded?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QJPL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QJOM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QJOL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QKOL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P-&gt;Q, I-&gt;J, N-&gt;O, K-&gt;L gives QJOL.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certain code, 'A' = 1, 'B' = 2. The value of 'CAT'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 = 3, A = 1, T = 20; sum = 3 + 1 + 20 = 24.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5 men or 7 women can do a piece of work in 12 days, 5 men and 7 women together can do it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 days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5 men = 7 women = 1 unit of 1/12 per day; together they do 2/12 = 1/6 per day - 6 days.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time is 4:30, the angle between the hour and minute hands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45 degrees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At 4:30, the hour hand is halfway between 4 and 5 (135 degrees) and the minute hand is at 6 (180 degrees) - the angle is 45 degrees.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