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presents with poverty of speech, flat affect, and social withdrawal. The nurse documents these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Negative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Cognitive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Positive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Disorganized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Negative symptoms (alogia, flat affect, avolition, asociality) are the deficit features of schizophrenia; hallucinations and delusions are positive symptoms.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first-generation antipsychotic develops oculogyric crisis. The nurse should anticipate administering: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Diphenhydramine or benztropine (anticholinergics)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B12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More of the antipsychotic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beta blocker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Acute dystonia like oculogyric crisis is an extrapyramidal reaction treated with parenteral anticholinergics (diphenhydramine, benztropine).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has a serum level of 1.8 mEq/L with coarse tremor, ataxia, and vomiting.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lithium, notify the provider, and prepare for possible hemodialysis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double dose to stabilize the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Reassure that these are expected effects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extra dietary salt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Lithium toxicity occurs above 1.5 mEq/L; severe toxicity (&gt;2.0) may need hemodialysis. The drug is held and treatment is supportive.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nursing observation during and immediately after electroconvulsive therapy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Airway patency, vital signs, and level of consciousness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Hair and skin integrity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Facial symmetry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Pupil size at rest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Post-ECT care prioritizes airway, breathing, circulation and recovery from anesthesia; confusion and headache are also expected transiently.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major depression is started on an SSRI. The nurse should teach that the antidepressant effect typically appears: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After 2 to 4 weeks of consistent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Within the first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when combined with a benzodiazepine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SSRIs take 2-4+ weeks for therapeutic effect; early weeks carry an increased risk of suicidal ideation in young adults, requiring close follow-up.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mania is pacing, speaking rapidly, and refusing to sit for meals. The best nursing intervention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restraints for safety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Offer high-calorie finger foods frequently in a low-stimulation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Insist the client sit quietly for a full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fluids to calm the client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Mania increases energy expenditure and causes poor nutrition; frequent high-calorie finger foods in a quiet, low-stimulation setting are recommended.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witnessed a road accident 3 months ago reports intrusive nightmares, avoidance of roads, and hypervigilance. The nurse suspects: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Post-traumatic stress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Generalized anxiety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Somatic symptom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Obsessive-compulsive disorder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PTSD follows a traumatic event with re-experiencing, avoidance, hyperarousal, and negative mood/cognition persisting beyond one month.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indicator of suicide risk during assessment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history of watching sad movies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specific plan with means and intent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Occasional low mood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Sleeping more than usual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concrete plan with access to lethal means plus expressed intent is the strongest acute predictor; prior attempts also elevate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alcohol use disorder develops tremors, sweating, tachycardia, and hallucinations 48 hours after stopping drinking.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Assess for delirium tremens and initiate sedation per protocol (benzodiazepines)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Discharge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symptoms as withdrawal is harmless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coffee to keep the client awake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Alcohol withdrawal can progress to delirium tremens, a medical emergency; benzodiazepines are the standard treatment with close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Wernicke-Korsakoff syndrome in chronic alcoholism is due to deficiency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Thiamine (vitamin B1)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Thiamine deficiency causes Wernicke's encephalopathy (confusion, ataxia, ophthalmoplegia) and Korsakoff's psychosis (amnesia, confabulation).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observes a client with dementia wandering into other clients' rooms at night. The best initial intervention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Identify and address the cause while keeping the environment safe and familiar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Tie the client to the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sedatives before every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Scold the client firmly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Sundowning/wandering is managed by finding triggers, maintaining routine, providing orientation cues, and ensuring a safe environment; restraints worsen behavior.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monoamine oxidase inhibitor (MAOI) must be taught to avoid: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Green leafy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Boiled potatoes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Aged cheese, cured meats, and red wine (tyramine-rich foods)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Whole-grain bread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MAOIs cause hypertensive crisis with tyramine; clients must avoid aged cheese, fermented/cured foods, and alcohol.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uses 'reflection' during a therapeutic conversation. An example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'Why did you let her upset you?'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'You should just forgive her.'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'Everyone feels that way.'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'You seem to feel angry when your sister visits.'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Reflection restates the client's feeling back to them to promote insight; 'why' questions and advice-giving block therapeutic communication.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obsessive-compulsive disorder performs hand washing for 2 hours after touching any object. The nurse understands the compulsion serves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Punish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 social relationships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self-esteem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the anxiety produced by obsessions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Compulsions are repetitive behaviors performed to neutralize the anxiety of obsessions; OCD treatment includes SSRIs and exposure-response prevention.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documents a client's behavior as 'echolalia.' This means the client: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Uses made-up words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Speaks in rhymes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Refuses to speak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Repeats words or phrases spoken by others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Echolalia is the involuntary repetition of another's words; clanging is rhyming, neologisms are invented words, mutism is absence of speech.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believes the neighbors have planted cameras in the walls to spy on him. This symptom is called a: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Erotomanic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Delusion of grandeur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Somatic delusion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Delusion of persecution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Persecutory delusions involve beliefs of being harmed, watched, or plotted against; grandiose delusions involve inflated importance or power.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haloperidol develops fever, muscle rigidity, altered consciousness, and an elevated CK level.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Tardive dyskinesia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Neuroleptic malignant syndrome (NMS)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Benign essential tremor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Serotonin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NMS is a life-threatening reaction to antipsychotics: hyperthermia, rigidity, autonomic instability, and raised CK; the drug is stopped and supportive care given.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Involuntary lip-smacking, tongue protrusion, and writhing movements of the face and limbs after years of antipsychotic therapy suggest: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Tardive dyskinesia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Acute dystonia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Akathisia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Parkinsonism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Tardive dyskinesia is a late, often irreversible extrapyramidal syndrome with choreiform movements, screened with the AIMS scale.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reports intense inner restlessness and an inability to sit still shortly after starting an antipsychotic. The nurse recognizes this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Akinesia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Neuroleptic malignant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Tardive dyskinesia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Akathisia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Akathisia is distressing motor restlessness (pacing, inability to stay seated) and is an extrapyramidal side effect; treatment includes dose reduction or beta blockers.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According to the Mental Healthcare Act 2017 of India, a person with mental illness has the right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Treatment only with family consent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Mental healthcare and treatment from services run by the government without discrimination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Denial of treatment based on employment status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Free treatment only if admitted privately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Mental Healthcare Act 2017 guarantees the right to access mental healthcare, confidentiality, and protection from cruel or degrading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student who failed an exam says, 'It was not my fault, the hall was too noisy.' This is an example of which defense mechanism?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Reaction formation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Rationalization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Projection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Rationalization is offering a socially acceptable excuse for behavior; projection attributes one's own feelings to others; sublimation channels impulses into acceptable activities.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anorexia nervosa is started on refeeding. The nurse must monitor most carefully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Hyperglycemia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A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Refeeding syndrome with hypophosphatemia and cardiac arrhythmias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Refeeding syndrome occurs in severely malnourished clients as electrolytes (phosphate, potassium, magnesium) shift intracellularly, risking arrhythmias and failure.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catatonia is mute and immobile but repeats the nurse's movements. This sign is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Waxy flexibility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Stupor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Echopraxia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Echolalia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Echopraxia is imitation of another's movements; waxy flexibility is maintaining postures imposed by others; stupor is reduced responsiveness.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caring for a client in seclusion. The safest practice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Allow the client unlimited access to a lighter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Document observation at regular intervals and reassess the need for seclusion at least hourly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 until calm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all clothing for safety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Seclusion and restraint require regular documented observation, frequent reassessment, and the least restrictive alternative for the shortest time.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repeatedly complains of severe leg pain, but extensive investigations show no physical cause and symptoms appear to meet emotional needs. This pattern suggests: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Malingering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Somatic symptom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Specific phobia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Panic disorder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Somatic symptom disorder involves distressing physical symptoms with excessive thoughts, feelings, or behaviors about them; malingering is intentional faking for external gain.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crisis after sudden job loss is weeping and cannot concentrate.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Ensure safety and provide a calm, supportive presence with simple problem-solving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Refer immediately for long-term therapy without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Tell the client to stop crying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Discuss career planning in detail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Crisis intervention begins with safety, establishing rapport, and addressing the immediate problem with coping strategies, before longer-term follow-up.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clozapine must have which laboratory test monitored regularly due to a serious side effect?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Absolute neutrophil count (agranulocytosis risk)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Hemoglobin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Serum calcium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Prothrombin 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Clozapine can cause agranulocytosis; ANC must be monitored weekly initially, and the drug stopped if the count falls below safe limits.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bereaved client is unable to accept the loss and keeps the deceased person's belongings untouched for years. This pattern is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Adjustment disorder with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Prolonged (complicated) grief disorder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Bipolar depression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Acute stress disorder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Complicated grief persists beyond expected norms with intense yearning, avoidance of reminders, and impaired functioning, requiring targeted grief therapy.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borderline personality disorder threatens self-harm when told the nurse is leaving at shift change. The most therapeutic response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Acknowledge the feeling, maintain consistent boundaries, and inform the treatment team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threat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Punish the client by restricting privileges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Promise to stay all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Borderline clients fear abandonment; the nurse validates feelings, keeps firm limits, avoids power struggles, and ensures the team responds to safety threats.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the depressive phase is prescribed lamotrigine. The nurse should teach the client to report immediately: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rash, which may signal Stevens-Johnson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appetite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Lamotrigine can cause severe rash including Stevens-Johnson syndrome; the dose is titrated slowly and any new rash is reported at once.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cirrhosis and ascites develops confusion, asterixis, and a sweet musty breath odor.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Administer extra sedatives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Institute hepatic encephalopathy precautions: restrict protein per order, lactulose, and protect the airway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a high-protein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Hepatic encephalopathy from ammonia accumulation is treated with lactulose (reduces ammonia), dietary protein control, and safety measures; sedatives are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oliguric phase of acute kidney injury has serum potassium of 6.8 mEq/L with peaked T waves on ECG. The nurse should prepare to give: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saline bolus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Calcium gluconate, then insulin-glucose or other potassium-lowering measures per protocol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Oral potassium supplements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potassium-sparing diuretic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Hyperkalemia with ECG changes is an emergency: IV calcium gluconate stabilizes the myocardium, followed by insulin-glucose, sodium bicarbonate, or dialysis.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pancreatitis has a positive Cullen sign. The nurse understands this indicates: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Palmar erythema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Facial flushing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Periumbilical bruising from retroperitoneal hemorrhage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Peripheral cyanosis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Cullen's sign (periumbilical ecchymosis) and Grey Turner's sign (flank ecchymosis) indicate retroperitoneal bleeding in severe pancreatitis.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total parenteral nutrition suddenly develops flushing, tachycardia, and dyspnea. The priority action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infusion and notify the provider (suspected air embolism or reaction)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Add more potassium to the bag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Reassure and continue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infusion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Sudden cardiopulmonary symptoms during TPN may indicate air embolism or sepsis; the infusion is stopped and the provider notified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ileal conduit has urine leaking around the stoma pouch.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 a tight elastic band over the pouch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Reassess the stoma size and fit of the wafer, since the stoma shrinks postoperatively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the pouch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Leakage most often results from an improperly sized wafer; stomal edema resolves after surgery so the template must be remeasured and refitted.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myasthenia gravis develops sudden severe weakness, respiratory distress, and difficulty swallowing after taking neostigmine.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panic attack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disease fluctuation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Myasthenic crisis from undertreatment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Cholinergic crisis from excess medication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Cholinergic crisis (excess acetylcholine) mimics weakness; distinguishing it from myasthenic crisis may require the edrophonium (Tensilon) test and airway support.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returns from a thyroidectomy and complains of tingling around the mouth with muscle twitching.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warm compresses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Check for hypocalcemia (tetany) and have calcium gluconate ready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Elevate the head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more thyroid hormone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Parathyroid injury during thyroidectomy causes hypocalcemia with circumoral tingling, Chvostek and Trousseau signs, and tetany; calcium is given promptly.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kidney disease is prescribed erythropoietin. The nurse should monitor: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Hemoglobin and blood pressure (risk of hypertension and stroke)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Fasting blood sugar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 turgor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Urine specific gravity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Erythropoietin raises hematocrit and can worsen hypertension; hemoglobin and BP are monitored to avoid excessive rise and thrombotic events.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nasogastric tube receiving continuous enteral feeding is positioned at 30-45 degrees. The main purpose of this position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aspiration of gastric contents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 cardiac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pressure on the sacrum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Elevating the head of the bed 30-45 degrees during tube feeding reduces the risk of gastroesophageal reflux and aspiration pneumonia.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transferring a hemiplegic client from bed to wheelchair, the nurse should place the wheelchair: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Anywhere, since position does not matter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a 45-degree angle on the client's strong side with brakes locked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Behind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 the weak side directly against the bed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wheelchair is angled 45 degrees on the strong side with brakes locked so the client pivots onto the strong leg, protecting the weak side.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to give an injection to a client who is needle-phobic. The most appropriate nursing action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Skip the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Use distraction, explain the procedure simply, and use the smallest needle appropriate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Ask another nurse to hold the client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Hide the needle and give the injection without warning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Needle phobia is managed with preparation, distraction, comfort positioning, and the least painful technique; hiding or forcing erodes trust and safety.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notes the client's urine output is 20 mL/hour over 4 hours after surgery.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the catheter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Document as normal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oliguria and check for signs of hypovolemia or obstruction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Oliguria (&lt;0.5 mL/kg/hour) suggests hypovolemia, renal injury, or obstruction; the nurse reports findings and assesses intake, BP, and catheter patency.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method to confirm correct placement of a newly inserted nasogastric tube before the first feeding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Auscultating air over the epigastrium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X-ray of the chest or abdomen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Observing bubbling in a glass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Checking the pH of aspirate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Radiographic confirmation is the gold standard for NG tube placement; pH and auscultation are supportive but not definitive.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strict bed rest develops a reddened area over the coccyx that does not blanch on pressure. The nurse documents this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Stage 3 pressure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Macerated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Stage 1 pressure injury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Unstageable injury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non-blanchable erythema of intact skin is a Stage 1 pressure injury; repositioning and pressure relief are initiated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prepares a client for a lumbar puncture. The most appropriate position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upright fully extended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Prone with arms at the sides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Side-lying with knees drawn to the chest and chin tucked (flexed position)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Supine with legs extended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Flexion (fetal position) widens the intervertebral spaces, allowing safe access for the spinal needle; the client remains still during the procedure.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fire breaks out in a client's room. The nurse's first action in the RACE sequence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Extinguish the fire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Activate the alarm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Confine the fire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Rescue clients in immediate danger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RACE: Rescue, Alarm, Confine, Extinguish. Removing clients in immediate danger comes first, then activating the alarm and containing the fire.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digoxin develops anorexia, nausea, and yellow-green halos around lights.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an antacid and continue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Hold the digoxin, check the serum level, and assess the ECG for dysrhythmias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 the next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GI upset, visual halos, and confusion are digoxin toxicity signs; the drug is held, potassium/level checked, and cardiac monitoring continued.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an IV infusion of norepinephrine develops a pale, cold extremity at the infusion site.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Elevate the limb higher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infusion and notify the provider (risk of tissue necrosis from extravasation)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heat to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flow rate to dilute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Vasopressor extravasation causes ischemia and necrosis; the infusion is stopped and the provider notified for phentolamine infiltration if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tuberculosis is on rifampicin. The nurse should teach that this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Turns urine, sweat, and tears orange and interacts with oral contraceptives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safe during pregnancy without counseling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causes liver problems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Causes permanent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Rifampicin discolors body fluids orange-red, induces liver enzymes reducing contraceptive efficacy, and can cause hepatotoxicity; adherence is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ordered 500 mg of a drug available as 250 mg per 5 mL. The nurse should administer: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2.5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mL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500 mg / 250 mg = 2 times the 5 mL strength; 2 x 5 mL = 10 mL.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spironolactone is advised to avoid: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Salt substitutes and potassium-rich foods (risk of hyperkalemia)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Fluids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Calcium supplements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Spironolactone is a potassium-sparing diuretic; excess potassium intake can cause dangerous hyperkalemia, so salt substitutes are avoided.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infusing 1000 mL of normal saline over 8 hours with a drop factor of 15 gtt/mL. The flow rate in drops per minute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125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62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gtt/min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Approximately 31 gtt/min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(1000 mL x 15 gtt/mL) / (8 hr x 60 min) = 15000 / 480 = 31.25, about 31 gtt/min.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opioid overdose has pinpoint pupils and respiratory rate of 6 per minute. The nurse should anticipate administering: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Atropine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Flumazenil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Activated charcoal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Naloxone IV and supporting ventilation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Opioid overdose presents with respiratory depression, miosis, and coma; naloxone reverses opioid effects and ventilation is supported as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at 41 weeks gestation is scheduled for induction. The nurse understands that a non-reactive nonstress test with absent variability requires: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Reassurance that no testing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Further fetal assessment, such as a biophysical profile or contraction stress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discharge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Starting oral iron supplements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non-reassuring NST warrants additional evaluation (BPP, CST) to rule out fetal compromise; delivery may be indicated.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the second stage of labour, the nurse observes thick greenish amniotic fluid. The priority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Turn off the fetal monitor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maternal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Notify the provider and prepare for possible meconium aspiration precautions at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color change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Meconium-stained fluid signals possible fetal distress; the provider is notified so the newborn can be suctioned and evaluated at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complains of a sudden large gush of bright red blood with a boggy uterus.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warm sitz bath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Record it as normal lochia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Firmly massage the fundus and check for clots while calling for help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an ice pack to the perineum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Postpartum hemorrhage is a life-threatening emergency; fundal massage, bladder emptying, oxytocin, and prompt escalation are the immediate actions.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woman at 32 weeks reports a persistent headache, blurred vision, and epigastric pain with a blood pressure of 160/110 mmHg.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Recognize signs of severe preeclampsia and initiate emergency care with seizure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Offer tea and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Advise walking exercises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Schedule a routine visit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Headache, visual changes, epigastric pain with severe hypertension indicate impending eclampsia; magnesium sulfate and delivery planning are urgent.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providing Kangaroo Mother Care, the nurse should place the stable preterm infant: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Skin-to-skin on the mother's chest between the breasts, covered with a blanket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Prone on a soft mattress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Upright in a bouncer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 a separate crib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Kangaroo care is skin-to-skin contact on the chest with a cover; it improves thermoregulation, breastfeeding, and bonding for stable preterm infants.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woman in active labour has a cervical dilation of 8 cm and urges to push.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Let the client push forcefully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firm suprapubic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pant-blow breathing and notify the provider, since pushing before full dilation causes cervical 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Ask the client to hold her breath and strain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Pushing before full dilation (10 cm) risks cervical laceration and edema; the client is helped to avoid bearing down until the cervix is complete.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6-month-old infant presents with a hoarse barking cough, stridor, and mild fever.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 large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Force fluids rapidly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infant calm, elevate the head, and assess for increasing respiratory distress (croup)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Position the infant flat on the back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Croup causes barking cough and stridor; crying worsens airway obstruction, so the infant is kept calm and observed closely for distress.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nephrotic syndrome has generalized edema and proteinuria.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Monitor daily weight, urine protein, and maintain strict intake-output with skin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unlimited salty snacks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Measure weight only once weekly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child lying flat without turning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Nephrotic syndrome care focuses on monitoring edema, protein loss, preventing infection and skin breakdown, and steroid therapy.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infant born at term is noted to have a persistent bluish discoloration of the hands and feet while the trunk is pink. The nurse documents this 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Acrocyanosis, a normal finding in the first days of life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Ecchymosis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Central cyanosis requiring immediate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Jaundice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Acrocyanosis (bluish hands and feet with pink trunk/mucosa) is normal and benign in newborns; central cyanosis involves lips and tongue and is serious.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school-age child with leukemia is on chemotherapy and develops petechiae and a nosebleed.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Flush the nose with hot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pressure and notify the provider (risk of thrombocytopenia)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aspirin for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Chemotherapy causes thrombocytopenia; bleeding is managed with pressure, avoiding NSAIDs, and provider notification for platelet transfusion.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is suspected of having ingested kerosene.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milk and induce vomiting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salt water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at home and observe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Not induce vomiting and seek emergency care (risk of aspiration pneumonia)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Petroleum product ingestion is managed with airway protection and observation; vomiting is never induced because of aspiration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newborn with hyperbilirubinemia receiving phototherapy,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baby covered in warm clothes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oil on the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breastfeeding entirely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Protect the eyes with shields, monitor temperature, and increase feeding frequency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Phototherapy requires eye protection, temperature monitoring, adequate hydration with frequent feeds, and skin assessment; oils are avoided as they can burn.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planning a health education session on handwashing in a school. The best teaching approach for children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Testing children on anatomy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Distributing pamphlets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long written lecture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Demonstration and return demonstration with supervised practice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Demonstration with return demonstration promotes skill acquisition and retention in children, especially for psychomotor behaviors like handwashing.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village reports several cases of acute watery diarrhea with dehydration. The community health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Ensure availability of ORS and refer severe cases while investigating the water source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Distribute antibiotics to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Advise people to stop eating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Close all schools permanently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Diarrhea outbreaks are managed by prompt rehydration, case referral, and investigating the common source (water/food) to break transmission.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conducting a house-to-house survey counts all persons, then asks about illness in the last month. This is an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laboratory experiment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clinical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morbidity survey in a community health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case-control study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Household surveys that enumerate a population and measure illness are descriptive community health surveys; they guide planning and evaluation.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worker observes that many elderly persons in the village skip meals because they live alone. The most appropriate intervention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Form a community support network and link them to welfare nutrition schemes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Advise them to eat only packaged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Restrict their mobility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issue as private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Social isolation and food insecurity in the elderly are addressed through community support groups, family involvement, and government nutrition programs.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evaluating an immunization session. The indicator 'dropout rate' between BCG and measles vaccine reflects: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proportion of children who start immunization but fail to complete the schedule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total vaccines wasted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number of children who received extra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number of nurses present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Dropout rate measures loss to follow-up between early and late vaccines (e.g., BCG to measles); a high rate signals counseling and access problems.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correct SI unit of electric potential?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Ohm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Coulomb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Volt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volt is the SI unit of electric potential difference; ampere measures current, ohm measures resistance, coulomb measures charge.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pH of a solution is measured as 3. This solution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Strongly acidic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Weakly alkaline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Neutral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Strongly alkaline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pH below 7 is acidic; pH 3 is strongly acidic (hydrogen ion concentration 10^-3 mol/L).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vitamin is synthesized in the human skin on exposure to sunlight?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Vitamin B12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Vitamin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Sunlight converts 7-dehydrocholesterol in the skin to vitamin D3 (cholecalciferol), essential for calcium metabolism.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part of the human brain regulates body temperature, hunger, and thirst?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Hypothalamus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Cerebrum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Medulla oblongata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hypothalamus maintains homeostasis by regulating temperature, appetite, thirst, sleep, and the endocrine system.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formula of common salt (sodium chloride) and its bond type are: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NaClO, ionic bond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NaCl2, metallic bond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NaCl, covalent bond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NaCl, ionic bond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Sodium chloride has an ionic (electrovalent) bond formed by transfer of an electron from sodium to chlorine.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noble gas used in filling electric bulbs?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Argon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 dioxide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Argon is an inert noble gas that prevents filament oxidation and prolongs bulb life; oxygen would burn the filament.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plants lose water in the form of vapor through stomata is called: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Photosynthesis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Guttation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Transpiration is water loss as vapor mainly through stomata; guttation is liquid water loss through hydathodes.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cells are primarily responsible for antibody production?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Neutrophils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 lymphocytes (plasma cells)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 blood cells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Platelets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 lymphocytes differentiate into plasma cells that secrete antibodies; T cells mediate cellular immunity; RBCs carry oxygen; platelets clot.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concave mirror is used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Rear-view mirrors of cars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Periscopes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Torch lights and headlamps to produce a parallel beam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Plain window glass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concave mirror converges light from a source at its focus into a parallel beam, used in torches, headlamps, and shaving mirrors.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pairs a disease with the organism that causes it correctly?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Cholera -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Malaria - Plasmodium (protozoan)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Ringworm - bacterium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AIDS - protozoan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Malaria is caused by the protozoan Plasmodium (spread by Anopheles mosquito); cholera is bacterial, ringworm fungal, AIDS viral.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part of the Indian Constitution contains the Directive Principles of State Policy?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Part IV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Part 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Part III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Part V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Directive Principles of State Policy are in Part IV (Articles 36-51); Part III contains Fundamental Rights.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INTERPOL is located in: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Lyon, France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New York,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Geneva, Switzerland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Vienna, Austria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INTERPOL, the international police organization, is headquartered in Lyon, France.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woman Governor of an Indian state was: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Indira Gandhi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Vijaya Lakshmi Pandit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Pratibha Patil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Sarojini Naidu (United Provinces, 1947)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Sarojini Naidu was appointed the first woman Governor of an Indian state (United Provinces, now Uttar Pradesh) in 1947.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Indian state is known as the 'Land of Rising Sun'?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Arunachal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Gujarat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Arunachal Pradesh is called the Land of the Rising Sun as it receives the first sunrise in India; its capital is Itanagar.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civilian award of India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Bharat Ratna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Ashoka Chakra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Padma Vibhushan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Param Vir Chakra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Bharat Ratna is India's highest civilian honour; Padma Vibhushan is second, and Param Vir Chakra is the highest wartime gallantry award.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Dandi March of 1930 was led by Mahatma Gandhi to protest against: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Rowlatt Act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partition of Bengal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Jallianwala Bagh massacre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salt tax imposed by the British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Salt Satyagraha (Dandi March, 1930) defied the British monopoly and tax on salt, launching the Civil Disobedience Movement.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planet with the most prominent ring system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Neptune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Uranus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Saturn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Saturn's spectacular ring system is made of ice and rock particles; it is the most prominent among all planets.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Dairy Development Board, famous for 'Operation Flood', was founded by: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Dr. M.S. Swaminathan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Dr. Hargobind Khorana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Dr. Verghese Kurien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Dr. A.P.J. Abdul Kalam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Dr. Verghese Kurien, the 'Milkman of India', led Operation Flood (White Revolution); M.S. Swaminathan led the Green Revolution.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rivers flows through the 'Silk Route' region of India and is called the 'Tsangpo' in Tibet?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Ganga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Godavari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Kaveri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Brahmaputra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Brahmaputra is called Tsangpo in Tibet, Dihang in Arunachal, and Jamuna in Bangladesh; it is one of the major rivers of Assam.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which year did India conduct its first successful nuclear test at Pokhran, codenamed 'Smiling Buddha'?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1998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1962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1974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India's first peaceful nuclear explosion (Smiling Buddha) was on 18 May 1974; Pokhran-II was in May 1998.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what rate of simple interest will Rs 6000 amount to Rs 7200 in 2 years?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7200 - 6000 = 1200; 1200 = (6000 x R x 2)/100 gives R = 10%.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11 numbers is 50. If the average of the first 6 is 49 and the last 6 is 52, the 6th number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of all 11 = 550; first 6 + last 6 = 294 + 312 = 606; 6th number counted twice = 606 - 550 = 56.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240 m long crosses a pole in 16 seconds. Its speed in km/h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48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72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Speed = 240/16 = 15 m/s = 15 x 18/5 = 54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TIGER is written as UJIFS. How will LION be written in that code?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KJPO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MJPO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MJOP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MIPO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letter shifts +1: L→M, I→J, O→P, N→O, so LION = MJPO.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marks goods 40% above cost and gives a discount of 25%. His profit percentage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 CP = 100; MP = 140; SP = 140 x 0.75 = 105; profit = 5%.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12 men can build a wall in 9 days, how many days will 18 men take to build the same wall?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13.5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Work is constant: 12 x 9 = 18 x D, so D = 108/18 = 6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is the brother of B. B is the sister of C. C is the father of D. How is A related to D?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Grandfather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Brother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and B are siblings; C is their sibling too, and C's child D is the nephew/niece of A, so A is D's uncle.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Find the missing number in the series: 3, 8, 15, 24, ?, 48.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are 5, 7, 9, 11, 13 (odd numbers); 24 + 11 = 35.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ratio of the ages of a father and son is 7:3. After 10 years the ratio becomes 9:5. The present age of the son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21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(7x+10)/(3x+10) = 9/5 → 35x+50 = 27x+90 → 8x = 40 → x = 5; son = 15.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9th of a month is a Tuesday, what day will the 25th of the same month be?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Thursday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Friday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From 9th to 25th is 16 days; 16 mod 7 = 2, so Tuesday + 2 = Thursday.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