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acute MI develops sudden severe dyspnea, pink frothy sputum, and crackles. The nurse should first: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Sit the client upright, give oxygen, and prepare for diuretics and morphine per protocol (pulmonary edema)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Encourage coughing forcefully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Lay the client flat and give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Discontinue oxygen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Acute pulmonary edema is a life-threatening MI complication; high-Fowler's position, oxygen, diuretics, and morphine are the standard response.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receiving chemotherapy for breast cancer reports severe mouth sores and difficulty eating.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Scrub the mouth vigorously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Discontinue all oral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Provide soft bland foods, frequent mouth care, and analgesic mouth rinses as ordered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Serve spicy hot meals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Mucositis is managed with bland soft foods, gentle mouth care, topical analgesics, and maintaining hydration; spicy or hot foods worsen pain.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acquired immune deficiency syndrome has a CD4 count of 80 cells/mm3 and develops a cough, fever, and dyspnea. The nurse should suspect: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common cold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Heat stroke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Iron deficiency anemia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Opportunistic infection such as Pneumocystis jirovecii pneumonia (PCP)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PCP, a classic AIDS-defining infection, occurs when CD4 counts fall below 200; treatment is co-trimoxazole with oxygen support.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40% total body surface area burn develops decreasing urine output and rising pulse. The nurse should first: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Stop urine measurement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Restrict all IV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Assess for burn shock and ensure IV fluid replacement is on schedule per the resuscitation formula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extra potassium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Burn shock from capillary leak requires aggressive fluid resuscitation (Parkland formula); urine output of 30-50 mL/hr guides adequacy.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nurse observes a client's ECG showing a heart rate of 46 with no P waves and wide QRS complexes. The rhythm is most likely: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Supraventricular tachycardia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Normal sinus rhythm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Third-degree (complete) heart block with an escape rhythm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Atrial fibrillation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Complete heart block shows P waves and QRS complexes dissociated with a slow ventricular escape rhythm; it may need a pacemaker.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cirrhosis develops massive hematemesis from esophageal varices. The nurse should first: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Place the client supine flat with head down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Encourage walking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a large meal to dilute blood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Protect the airway, start IV access, and prepare for vasopressin or octreotide and balloon tamponade if needed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Variceal hemorrhage is an emergency: airway protection, volume resuscitation, and vasoactive drugs (octreotide/terlipressin) with endoscopic therapy.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type 1 diabetes is found unconscious with deep rapid breathing, fruity breath, and blood glucose of 550 mg/dL.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Start IV fluids and insulin per DKA protocol and monitor potassium closely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Administer oral hypoglycemics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Wait for the glucose to fall on its own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orange juice immediately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DKA requires IV fluids, insulin infusion, and electrolyte (especially potassium) monitoring; as insulin drives potassium into cells, levels can crash.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disseminated intravascular coagulation has bleeding from multiple sites and oozing at IV sites. The priority nursing action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Administer aspirin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Apply heat to bleeding sites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Discontinue all IV therapy permanently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Treat the underlying cause, give blood products as ordered, and use firm pressure on bleeding sites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DIC is secondary to an underlying trigger (sepsis, obstetric emergencies); treatment targets the cause with replacement of platelets and clotting factors.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returns from a craniotomy. The nurse should position the client: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With the head of the bed elevated 30 degrees and the head midline to promote venous drainage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 a Trendelenburg position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Flat with the head lower than the body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Elevating the head 30 degrees and keeping the head midline reduces intracranial pressure by improving venous drainage; neck flexion is avoided.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acute pancreatitis develops sudden worsening abdominal pain, rigidity, and shock. The nurse should suspect: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Constipation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Simple indigestion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Pancreatic necrosis or hemorrhage and notify the provider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Muscle strain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Sudden rigidity with shock in pancreatitis suggests complications like necrosis, hemorrhage, or perforation requiring urgent surgical evaluation.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total parenteral nutrition has a blood glucose of 400 mg/dL.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Ignore the value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a large oral glucose load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Notify the provider and adjust the infusion and insulin per protocol (hyperglycemia in TPN)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Stop the TPN abruptly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Hyperglycemia is common in TPN; insulin is added or the infusion adjusted. TPN is never stopped abruptly (hypoglycemia risk from rebound).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sickle cell crisis has severe joint and abdominal pain. The nurse should first: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Restrict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Withhold all pain medication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Administer analgesics and fluids as ordered, and apply warmth to painful areas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Apply ice packs to all joints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Sickle cell crisis is managed with opioids, hydration, warmth (not ice, which worsens sickling), oxygen if hypoxic, and rest.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systemic lupus erythematosus develops new facial rash and joint pain after sun exposure. The nurse should teach: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Avoid all medications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Sunbathe daily to build tolerance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Use sunscreen and protective clothing, and report rash, fever, or chest pain promptly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Rub the rash vigorously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Photosensitivity in SLE triggers flares; sun protection is essential and new symptoms like fever, pleuritic pain, or proteinuria are reported early.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fractured femur in skeletal traction develops sudden chest pain and dyspnea. The nurse should suspect: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Fat embolism syndrome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Gas gangrene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Osteomyelitis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Compartment syndrome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Long bone fractures can release fat into circulation causing fat embolism with sudden dyspnea, hypoxia, petechiae, and confusion.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chronic renal failure on hemodialysis has a Kt/V of 0.8. The nurse understands this indicates: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Excess fluid removal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Normal kidney function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Inadequate dialysis dose, which may need adjustment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Excellent dialysis adequacy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Kt/V measures dialysis adequacy; targets are about 1.2 for hemodialysis, so 0.8 indicates under-dialysis and the prescription is reviewed.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arrives 90 minutes after sudden onset of left-sided weakness and slurred speech. After a negative CT, the nurse should prepare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Spinal surgery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Immediate anticoagulant withdrawal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Thrombolytic (tPA) therapy within the 3-4.5 hour window after confirming no contraindications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Sleep therapy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Ischemic stroke within the tPA window (up to 4.5 hours) is treated with alteplase after CT rules out hemorrhage; rapid action is critical.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ruptured abdominal aortic aneurysm is hypotensive and in severe pain.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Administer a heavy meal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Prepare for emergency surgery while maintaining IV access and monitoring vital signs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a warm bath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Walk the client to imaging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Ruptured AAA is a surgical emergency; the client is kept NPO, flat with IV access, and taken urgently for repair.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acute respiratory distress syndrome is placed prone. The main purpose of prone positioning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Increase appetite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Prevent bedsores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Reduce intracranial pressure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Improve ventilation-perfusion matching and oxygenation in severe hypoxemia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Prone positioning recruits dorsal lung regions, improving V/Q matching and PaO2 in ARDS; it is used with lung-protective ventilation.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neutropenia after chemotherapy has a temperature of 38.3 C.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aspirin and observe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Wait until the fever rises further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Notify the provider immediately and obtain blood cultures before antibiotics (febrile neutropenia is an emergency)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Send the client home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Fever in neutropenia can signal life-threatening sepsis; cultures are drawn and broad-spectrum antibiotics started promptly.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head injury develops a dilated pupil on one side, worsening headache, and declining consciousness.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Recognize signs of herniation (increased ICP) and notify the provider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the client coffee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Reassure and observe for 2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Elevate the legs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Unilateral dilated pupil with declining consciousness signals uncal herniation from raised ICP; emergency treatment (osmotics, surgery) is needed.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hyperthyroidism develops fever, agitation, tachycardia, and delirium. The nurse should suspect: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panic attack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Thyroid storm and prepare for antithyroid drugs, beta blockers, and cooling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simple cold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Hypoglycemia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Thyroid storm is a life-threatening exacerbation; treatment includes thionamides, beta blockers, steroids, cooling, and supportive care.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receiving brachytherapy for cervical cancer asks if the nurse can stay close during care.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Limit time at the bedside, use shielding, and explain that exposure is minimized for staff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Hold the source in hand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Remove the radioactive source for comfort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Sit beside the client all day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Radiation safety uses time, distance, and shielding; staff limit exposure while still meeting care needs, and pregnant staff avoid assignment.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renal transplant develops fever, graft tenderness, and decreased urine output on day 5. The nurse should suspect: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muscle strain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Normal postoperative pain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flu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Acute rejection and notify the provider promptly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Fever, graft tenderness, oliguria, and rising creatinine in the early post-transplant period suggest acute rejection requiring immunosuppression adjustment.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undergoing a contrast-enhanced CT has diabetes and takes metformin.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Check renal function and note that metformin may be held around the procedure (contrast nephropathy risk)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a double dose of metformin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Skip the renal check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Avoid all fluids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Contrast media can cause nephropathy and lactic acidosis risk with metformin; guidelines call for renal function checks and holding metformin as ordered.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in the ICU has a temperature of 39 C, heart rate 120, respiratory rate 28, and white blood cell count 20,000. The nurse recognizes this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Systemic inflammatory response syndrome (SIRS) and screens for sepsis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Normal recovery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Bradycardia with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Hypothermia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SIRS criteria include fever, tachycardia, tachypnea, and abnormal WBC count; two or more indicate SIRS and prompt sepsis screening.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acute gastroenteritis has severe vomiting and diarrhea with serum sodium of 125 mEq/L.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Correct hyponatremia slowly and monitor for rapid shifts that cause neurological damage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a rapid hypertonic bolus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Ignore the sodium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Restrict all sodium forever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Hyponatremia is corrected gradually to prevent osmotic demyelination; rapid overcorrection risks seizures and brain injury.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end-stage liver disease has tense ascites and dyspnea. Paracentesis is planned. The nurse should prepare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Giving a large meal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Filling the bladder before the procedure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Having the client void before the procedure and monitoring for hypotension and electrolyte shifts afterward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Positioning the client prone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Pre-procedure voiding reduces bladder injury risk; post-paracentesis monitoring includes vital signs, electrolytes, and signs of hypovolemia.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chronic obstructive pulmonary disease has a respiratory rate of 8 and is somnolent after high-flow oxygen was administered.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stimulants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Keep the client awake forcefully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Increase the oxygen flow further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Reduce oxygen to a lower flow, support ventilation as needed, and notify the provider (CO2 narcosis)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High-flow oxygen in CO2 retainers suppresses the hypoxic drive, causing hypercapnic coma; flow is reduced and ventilation assisted.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an abdominal wound evisceration is found with loops of bowel outside the wound.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Cover the bowel with sterile saline-soaked dressings and notify the provider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Push the bowel back 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Leave it exposed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Apply dry pressure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Evisceration is an emergency: the bowel is kept moist with sterile saline dressings, the client is kept NPO, and surgery is arranged.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severe sepsis has a blood pressure of 70/40 despite fluids. The nurse should anticipate: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Giving only oral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Immediate discharge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Vasopressor therapy and further goal-directed management per the sepsis bundle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Withholding all treatment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Fluid-refractory septic shock requires vasopressors (norepinephrine), source control, and early antibiotics; the sepsis bundle guides care.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nasogastric tube for decompression has 800 mL of dark coffee-ground drainage in 6 hours.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Remove the tube permanently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Report possible upper GI bleeding and monitor vital signs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Irrigate the tube with hot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Document as normal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Coffee-ground drainage indicates upper GI bleeding; the nurse reports it, checks vital signs, and prepares for further evaluation.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is to give 350 mg of a drug available as 175 mg per 5 mL. The correct dose in mL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2.5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15 mL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350 / 175 = 2; 2 x 5 mL = 10 mL.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postoperative client refuses to get out of bed because of pain. The most appropriate nursing action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a sedative and let the client sleep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Force the client up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Cancel ambulation permanently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Administer prescribed analgesia, wait for peak effect, then assist with ambulation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Pain control must precede activity; the nurse gives analgesia, times the walk at peak effect, and uses safe transfer techniques.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contact precautions needs vital signs taken.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Place the client in the general ward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Share equipment without cleaning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Use a dedicated stethoscope and BP cuff in the room, or clean them before reuse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Refuse to take vital signs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Contact precautions include dedicated patient-care equipment; if shared, items are cleaned and disinfected before use with another client.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is receiving an IV infusion and the site becomes swollen, cool, and painful.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Leave the catheter in place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Stop the infusion, remove the catheter, and apply a warm compress per policy (infiltration)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Massage the site vigorously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Increase the flow rate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Infiltration (fluid into tissues) requires stopping the infusion, removing the cannula, and elevating with warm or cool compresses as ordered.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who had a cerebrovascular accident with right hemiplegia is learning to use a cane. The nurse should teach the client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Swing the cane randomly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Hold the cane on the strong (left) side and move the cane with the weak leg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Use the cane behind the body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Hold the cane on the weak side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cane is held on the strong side and advanced with the weak leg, providing a wider base of support and a natural gait pattern.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is preparing a client for surgery. The client states they have taken herbal supplements.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Ignore the supplements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Document and report all supplements, since many increase bleeding or interact with anesthesia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Hide the information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Double the supplements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Herbal products (garlic, ginkgo, ginseng, etc.) affect coagulation and anesthesia; full disclosure and provider guidance are essential preoperatively.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tracheostomy has thick secretions.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Insert the suction catheter dry and deep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Increase humidity and ensure adequate hydration to thin secretions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Instill normal saline and suction vigorously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Change the tube immediately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Thick secretions are loosened with humidified oxygen and hydration; suctioning is performed only as needed, pre-oxygenating and limiting passes.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enoxaparin is to receive 0.8 mL of a 100 mg/mL solution. The dose in milligrams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40 mg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100 mg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80 mg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8 mg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0.8 mL x 100 mg/mL = 80 mg.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isoniazid develops tingling and numbness in the hands and feet. The nurse should suspect deficiency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Pyridoxine (vitamin B6), caused by the drug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Vitamin 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Biotin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Vitamin C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Isoniazid causes peripheral neuropathy by depleting pyridoxine; supplemental B6 prevents this common side effect.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prescribed an ACE inhibitor develops a dry, persistent cough.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Double the dose to suppress 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more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Report the cough; the provider may switch to an angiotensin receptor blocker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Stop all antihypertensives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ACE inhibitor cough results from bradykinin accumulation; ARBs are a common alternative, and the drug is never stopped abruptly for BP control.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is to infuse 500 mL of 0.9% saline over 4 hours with a drop factor of 20 gtt/mL. The flow rate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60 gtt/min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20 gtt/min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About 42 gtt/min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125 gtt/min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(500 x 20) / (4 x 60) = 10000 / 240 = 41.7, about 42 gtt/min.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amiodarone should be monitored for which long-term side effect?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Hair growth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Tooth decay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Permanent blindness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Pulmonary fibrosis and thyroid dysfunction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Amiodarone can cause pulmonary toxicity, thyroid and liver dysfunction, corneal deposits, and skin discoloration; periodic monitoring is essential.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asthma is prescribed salbutamol via nebulizer for an acute attack.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a sedative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Start the client on a high-fat meal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Remove oxygen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the bronchodilator and reassess peak flow and breath sounds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Acute asthma is managed with rapid-acting bronchodilators (salbutamol) and reassessment; the dose may be repeated in severe attacks.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phenytoin is found to have a low serum level despite compliance. The nurse should suspect: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client should stop treatment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drug causes immunity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Drug interactions or altered absorption, and report for dose adjustment and level monitoring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drug is unnecessary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Phenytoin levels fluctuate with interactions (e.g., some antacids, other anticonvulsants) and absorption; levels guide dose titration.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morphine for severe pain develops a respiratory rate of 8.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Discontinue oxygen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Lay the client flat and cover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another dose to relieve pain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Stimulate the client, hold the next dose, and have naloxone ready per protocol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Opioid-induced respiratory depression is treated by stimulation, holding doses, and titrated naloxone with close monitoring.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woman at 39 weeks with preeclampsia is receiving magnesium sulfate and reports loss of deep tendon reflexes with a respiratory rate of 10.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Double the infusion rate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Stop the magnesium, have calcium gluconate ready, and notify the provider (magnesium toxicity)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Reassure and continue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more magnesium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Magnesium toxicity causes loss of reflexes, respiratory depression, and cardiac arrest; the infusion is stopped and calcium gluconate given as antidote.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neonate born at term is pale, limp, and not breathing at 1 minute.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Start chest compressions before airway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Feed the baby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Bathe the baby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Position the head, clear the airway, dry and stimulate, then assess breathing and begin ventilation if needed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Neonatal resuscitation follows the sequence: position and clear airway, dry and stimulate, then ventilate with bag-mask if apneic.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woman in labour with a previous cesarean section develops severe abdominal pain and fetal bradycardia. The nurse should suspect: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Uterine rupture and prepare for emergency cesarean delivery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urinary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Constipation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Normal labour pains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 a trial of labour after cesarean, sudden severe pain with fetal distress suggests uterine rupture; immediate surgical delivery is required.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breastfeeding mother develops engorged, painful breasts with fever on day 3. The nurse should teach: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Stop feeding completely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Apply heat continuously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Bind the breasts tightly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Feed frequently, apply warmth before and cold after feeds, and empty the breasts to prevent mastitis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Engorgement is relieved by frequent feeding, warmth before feeds to aid let-down, cold after to reduce edema, and breast emptying.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woman at 12 weeks gestation reports bright red bleeding with mild cramps. On examination the cervical os is closed. The nurse suspects: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Threatened abortion and plans for rest, monitoring, and follow-up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Ectopic pregnancy rupture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Complete abortion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Placenta previa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Threatened abortion is vaginal bleeding before 20 weeks with a closed cervical os; it may resolve, so rest and close follow-up are advised.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is assessing a newborn for developmental dysplasia of the hip. The finding that suggests the condition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Flat fontanelles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Strong Moro reflex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soft abdomen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clicking or clunking sensation with Barlow or Ortolani maneuvers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DDH screening uses the Ortolani and Barlow maneuvers; a palpable clunk indicates instability, warranting ultrasound referral.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4-month-old infant with fever, poor feeding, and a bulging fontanelle is suspected of meningitis.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Apply a warm cap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Prepare for diagnostic lumbar puncture and start antibiotics promptly as ordered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Wait for the fever to break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extra milk and observe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Bacterial meningitis in infants progresses rapidly; prompt diagnosis (LP) and empiric antibiotics are life-saving.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asthma is using a metered-dose inhaler with a spacer. The nurse should teach the child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Swallow the medication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Inhale rapidly and exhale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Press multiple times at once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Shake, exhale, press once while inhaling slowly, and hold the breath for 10 seconds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Correct MDI technique with a spacer improves lung deposition; one puff at a time with slow inhalation and a 10-second breath hold is ideal.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school-age child with nephrotic syndrome is on prednisone. The nurse should monitor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Reduced appetite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Improved immunity always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hair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Hypertension, hyperglycemia, and increased infection risk from steroids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Steroid therapy causes immunosuppression, hypertension, hyperglycemia, and growth effects; children are monitored for infections and side effects.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newborn with respiratory distress has nasal flaring, grunting, and intercostal retractions at birth.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Feed the baby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Assess airway and breathing, provide oxygen and warmth, and prepare for possible CPAP or ventilation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Weigh the baby first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Bathe the baby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Respiratory distress syndrome of the newborn requires airway support, thermal care, and early respiratory support (CPAP/surfactant per protocol).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toddler has a 3 cm laceration on the scalp from a fall.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Control bleeding with direct pressure, then assess for head injury and tetanus status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Leave the wound uncovered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the child juice and send home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Apply a tight tourniquet to the neck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Direct pressure controls bleeding; the child is then assessed for concussion signs and tetanus prophylaxis needs.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receiving chemotherapy develops petechiae, bleeding gums, and a platelet count of 20,000.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Apply heat to bruises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aspirin for fever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Encourage vigorous brushing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Institute bleeding precautions: soft toothbrush, no IM injections, and prepare for platelet transfusion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Severe thrombocytopenia requires bleeding precautions, avoiding aspirin/IM injections, and platelet transfusion per orders.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community nurse is evaluating a TB patient who completed only the intensive phase.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Declare the patient cured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Stop all testing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Counsel and restart the full course with follow-up, since incomplete treatment breeds drug resistance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Ignore the default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Defaulting TB treatment causes relapse and multidrug resistance; patients are traced, counselled, and restarted on the appropriate regimen.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conducting a community health survey uses systematic random sampling. This means: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Selecting only the nearest households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Choosing houses with painted walls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Selecting every nth household after a random start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Selecting households with the most people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Systematic sampling selects every kth unit after a random starting point; it is a probability method that reduces selection bias.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village has an outbreak of acute watery diarrhea. The nurse should advise the community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Share food freely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Boil or chlorinate drinking water and report all cases for surveillance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Avoid all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Stop using toilets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Waterborne outbreak control focuses on safe water, sanitation, case reporting, and ORS for treatment of dehydration.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is teaching mothers about home management of fever in children. The nurse should emphasize: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Wrapping the child in blankets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Monitoring temperature, giving adequate fluids, and using antipyretics at appropriate intervals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Giving antibiotics for all fevers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Bathing in ice water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Home fever care includes fluids, light clothing, accurate temperature monitoring, and safe antipyretic dosing; antibiotics are only for bacterial infections.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health worker is planning a vaccination session. The vaccine that must be given within 24 hours of birth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Measles vaccine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DPT booster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Tetanus toxoid for adolescents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Hepatitis B birth dose (and OPV/BCG per schedule)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hepatitis B birth dose is given within 24 hours of birth to prevent perinatal transmission; BCG and OPV are also given at birth.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schizophrenia who is stable on medication stops taking it and relapses. The nurse understands the best strategy to prevent relapse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Permanent seclusion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Stopping all follow-up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Punishing the client for relapse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Psychoeducation, adherence support, and early warning sign monitoring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Relapse prevention combines medication adherence support, family psychoeducation, and monitoring of early warning signs with prompt intervention.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generalized anxiety disorder is taught relaxation techniques. The nurse evaluates the outcome as achieved when the client: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Avoids all social contact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Takes extra medication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Reports reduced muscle tension and anxiety after practicing the technique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Rarely attends sessions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goal of relaxation training is a subjective decrease in anxiety and tension; regular practice increases its effectiveness.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delirium has fluctuating confusion, hallucinations, and agitation. The priority nursing intervention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Identify and treat the underlying cause while keeping the environment calm and safe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Isolate the client in darkness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Administer sedatives without evaluation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Scold the client for confusion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Delirium is a medical emergency caused by an underlying condition (infection, drugs, metabolic); correcting the cause and supportive care are key.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structure regulates the passage of food from the stomach to the duodenum?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Epiglottis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Pyloric sphincter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Ileocecal valve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Cardiac sphincter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pyloric sphincter controls gastric emptying into the duodenum; the cardiac sphincter guards the gastroesophageal junction.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exchange of gases between the blood and body tissues occurs at the level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Tissue capillaries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Bronchi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Alveoli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Trachea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Internal (tissue) respiration exchanges oxygen and carbon dioxide at the capillary-tissue interface; alveolar exchange is external respiration.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causative organism of anthrax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Bacillus anthracis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Streptococcus pyogenes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Vibrio cholerae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Clostridium botulinum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Anthrax is caused by Bacillus anthracis, a spore-forming bacillus; cholera is caused by Vibrio cholerae.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chronic kidney disease should limit which nutrient to reduce strain on the kidneys?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Carbohydrates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All fats completely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Fiber entirely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Protein and potassium as prescribed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CKD diets limit protein (reduce urea load), potassium, sodium, and phosphorus per lab results; carbohydrate and fat are adjusted for energy.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is a scalar quantity?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Force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Velocity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Displacement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Distance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Distance has only magnitude (scalar); velocity, force, and displacement have both magnitude and direction (vectors).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process by which plants make food using sunlight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Respiration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Transpiration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Osmosis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Photosynthesis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Photosynthesis uses sunlight, water, and CO2 to produce glucose and oxygen in chloroplasts.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metal is used in the filament of an electric bulb?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Tungsten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Aluminium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Mercury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Copper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Tungsten has a very high melting point and is used for bulb filaments; mercury is the metal liquid at room temperature.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structural and functional unit of the lungs where gas exchange occurs is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Pleura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Bronchus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Trachea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Alveolus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Alveoli are the microscopic air sacs where oxygen and carbon dioxide are exchanged across the capillary membrane.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gas taken in by plants during photosynthesis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Nitrogen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Hydrogen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Oxygen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Carbon dioxide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Photosynthesis consumes carbon dioxide and water to make glucose and release oxygen.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which medium does sound travel the slowest?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Gases such as air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Solids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Liquids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Vacuum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Sound travels slowest in gases because particles are far apart; it cannot travel at all in a vacuum.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vitamin is essential for blood clotting?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Vitamin B1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Vitamin 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Vitamin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Vitamin 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Vitamin K is required for synthesis of clotting factors II, VII, IX, and X; deficiency causes bleeding tendency.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process of splitting water into hydrogen and oxygen by passing electricity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Sublimation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Electrolysis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Distillation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Filtration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Electrolysis uses electric current to decompose compounds; water yields hydrogen at the cathode and oxygen at the anode.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part of the eye controls the amount of light entering it?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Retina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Cornea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Iris (pupil)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Optic nerve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iris adjusts pupil size to regulate light entry; the retina converts light to impulses and the optic nerve carries them to the brain.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chemical symbol of tin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Tin's symbol Sn is from Latin 'stannum'; Ti is titanium, Si is silicon, and gold is Au.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Satyagraha launched by Mahatma Gandhi in 1917 to support indigo farmers was: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Salt Satyagraha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Kheda Satyagraha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Quit India Movement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Champaran Satyagraha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Champaran Satyagraha (1917) in Bihar addressed indigo farmers' exploitation; Kheda (1918) addressed famine relief and taxes.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Indian to win the Nobel Prize was: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Amartya Sen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C.V. Raman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Mother Teresa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Rabindranath Tagore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Tagore won the Nobel Prize in Literature in 1913 for Gitanjali; C.V. Raman (1930) won in Physics.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planet known as the 'Morning Star'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Venus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Mercury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Jupiter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Venus, the brightest planet, is called the Morning Star or Evening Star; it is shrouded in thick CO2 clouds.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Indian state has the longest coastline?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Kerala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Odisha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Gujarat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Tamil Nadu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Gujarat has India's longest coastline (about 1,600 km), followed by Andhra Pradesh and Tamil Nadu.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National Flag of India was adopted by the Constituent Assembly on: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 October 1947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22 July 1947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15 August 1947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26 January 1950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tricolour was adopted on 22 July 1947; the Ashoka Chakra replaced the charkha on the white band.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headquarters of the Securities and Exchange Board of India (SEBI) is located in: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Chennai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Kolkata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Mumbai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New Delhi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SEBI, the capital markets regulator established in 1988, is headquartered in Mumbai; the RBI is also in Mumbai.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is the longest river in the world?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Mississippi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Nile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Yangtze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Amazon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Nile (about 6,650 km) is traditionally the longest river; the Amazon carries the greatest volume.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Rajiv Gandhi Khel Ratna Award was renamed in 2021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Arjuna Award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Major Dhyan Chand Khel Ratna Award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Padma Bhushan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Dronacharya Award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India's highest sporting honour was renamed the Major Dhyan Chand Khel Ratna Award in 2021.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International Day of Yoga is celebrated on: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 December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 October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21 June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 September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UN declared 21 June as International Day of Yoga in 2014, recognizing India's proposal; 5 September is Teachers' Day.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instrument is used to measure humidity?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Barometer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Ammeter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Hygrometer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Anemometer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hygrometer measures humidity; a barometer measures atmospheric pressure and an anemometer measures wind speed.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15 workers can complete a job in 12 days, how many days will 9 workers take to complete the same job?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18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20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15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10 days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15 x 12 = 9 x D → D = 180/9 = 20 days.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man sells an article for Rs 720 at a loss of 10%. The cost price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792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800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850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650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SP = 90% of CP → 720 = 0.9 CP → CP = 720/0.9 = 800.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sum of three consecutive even numbers is 96. The largest number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36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x + (x+2) + (x+4) = 96 → 3x = 90 → x = 30; largest = 34.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number when divided by 7 leaves a remainder of 5. If the same number is divided by 2, the remainder will be: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Cannot be determined without the number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Numbers like 12 (7x1+5) give 0 mod 2, while 19 (7x2+5) gives 1 mod 2, so the remainder cannot be fixed.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5 cats can catch 5 mice in 5 minutes, how many cats are needed to catch 100 mice in 100 minutes?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 cats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50 cats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100 cats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20 cats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Each cat catches 1 mouse in 5 minutes, so 1 cat catches 20 mice in 100 minutes; 5 cats catch 100 in 100 minutes.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certain language, if 'TABLE' is written as 'UBCMF', how is 'CHAIR' written?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DHBIS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DIBJS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CIBSJ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DIBSJ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Each letter shifts +1: C→D, H→I, A→B, I→J, R→S = DIBSJ.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average of 5 numbers is 20. If one number is removed, the average becomes 18. The removed number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22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Total = 5 x 20 = 100; remaining total = 4 x 18 = 72; removed = 100 - 72 = 28.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father is 4 times as old as his son. In 20 years, the father will be twice as old as the son. The son's present age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12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15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8 years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Son = x, father = 4x; 4x + 20 = 2(x + 20) → 4x + 20 = 2x + 40 → 2x = 20 → x = 10.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How many triangles are formed by drawing all three diagonals of a pentagon?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8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pentagon has 5 vertices; selecting any 3 vertices forms a triangle: C(5,3) = 10.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retailer gives a 20% discount on marked price and still earns 20% profit. The marked price is what percent above cost?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25%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Let CP = 100, SP = 120; MP x 0.8 = 120 → MP = 150, which is 50% above CP.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