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hemoglobin concentration in adult males is approximately:</w:t>
      </w:r>
    </w:p>
    <w:p>
      <w:r>
        <w:t xml:space="preserve">(a) 10-12 g/dL</w:t>
      </w:r>
    </w:p>
    <w:p>
      <w:r>
        <w:t xml:space="preserve">(b) 13.5-17.5 g/dL</w:t>
      </w:r>
    </w:p>
    <w:p>
      <w:r>
        <w:t xml:space="preserve">(c) 8-10 g/dL</w:t>
      </w:r>
    </w:p>
    <w:p>
      <w:r>
        <w:t xml:space="preserve">(d) 18-20 g/dL</w:t>
      </w:r>
    </w:p>
    <w:p>
      <w:r>
        <w:t xml:space="preserve">Answer: b</w:t>
      </w:r>
    </w:p>
    <w:p>
      <w:r>
        <w:t xml:space="preserve">Solution: Normal hemoglobin in adult males is 13.5-17.5 g/dL (females: 12-15.5 g/dL). Option a represents mild anemia levels. Option c indicates moderate anemia. Option d is above normal range and would constitute polycythemia. Remember: Males &gt; Females in normal Hb values due to androgen effects on RBC production.</w:t>
      </w:r>
    </w:p>
    <w:p>
      <w:r>
        <w:t xml:space="preserve">Positive Marks: 1</w:t>
      </w:r>
    </w:p>
    <w:p>
      <w:r>
        <w:t xml:space="preserve">Negative Marks: 0.33</w:t>
      </w:r>
    </w:p>
    <w:p/>
    <w:p>
      <w:r>
        <w:rPr>
          <w:b/>
        </w:rPr>
        <w:t xml:space="preserve">Question: The average lifespan of a red blood cell in peripheral circulation is:</w:t>
      </w:r>
    </w:p>
    <w:p>
      <w:r>
        <w:t xml:space="preserve">(a) 60 days</w:t>
      </w:r>
    </w:p>
    <w:p>
      <w:r>
        <w:t xml:space="preserve">(b) 90 days</w:t>
      </w:r>
    </w:p>
    <w:p>
      <w:r>
        <w:t xml:space="preserve">(c) 120 days</w:t>
      </w:r>
    </w:p>
    <w:p>
      <w:r>
        <w:t xml:space="preserve">(d) 150 days</w:t>
      </w:r>
    </w:p>
    <w:p>
      <w:r>
        <w:t xml:space="preserve">Answer: c</w:t>
      </w:r>
    </w:p>
    <w:p>
      <w:r>
        <w:t xml:space="preserve">Solution: RBCs live approximately 120 days (4 months) in the circulation. They are then removed by the reticuloendothelial system, primarily in the spleen. Option a (60 days) represents platelet lifespan. Option b and d are incorrect timeframes. Memory aid: 120 days = RBC full term in circulation, analogous to pregnancy duration.</w:t>
      </w:r>
    </w:p>
    <w:p>
      <w:r>
        <w:t xml:space="preserve">Positive Marks: 1</w:t>
      </w:r>
    </w:p>
    <w:p>
      <w:r>
        <w:t xml:space="preserve">Negative Marks: 0.33</w:t>
      </w:r>
    </w:p>
    <w:p/>
    <w:p>
      <w:r>
        <w:rPr>
          <w:b/>
        </w:rPr>
        <w:t xml:space="preserve">Question: Which chamber of the heart receives oxygenated blood from the pulmonary veins?</w:t>
      </w:r>
    </w:p>
    <w:p>
      <w:r>
        <w:t xml:space="preserve">(a) Right atrium</w:t>
      </w:r>
    </w:p>
    <w:p>
      <w:r>
        <w:t xml:space="preserve">(b) Left atrium</w:t>
      </w:r>
    </w:p>
    <w:p>
      <w:r>
        <w:t xml:space="preserve">(c) Right ventricle</w:t>
      </w:r>
    </w:p>
    <w:p>
      <w:r>
        <w:t xml:space="preserve">(d) Left ventricle</w:t>
      </w:r>
    </w:p>
    <w:p>
      <w:r>
        <w:t xml:space="preserve">Answer: b</w:t>
      </w:r>
    </w:p>
    <w:p>
      <w:r>
        <w:t xml:space="preserve">Solution: The left atrium receives oxygenated blood from the four pulmonary veins (2 from each lung). The right atrium receives deoxygenated blood from superior and inferior vena cava. This anatomical arrangement ensures proper oxygenation distribution. Mnemonic: Left-Lungs (oxygenated).</w:t>
      </w:r>
    </w:p>
    <w:p>
      <w:r>
        <w:t xml:space="preserve">Positive Marks: 1</w:t>
      </w:r>
    </w:p>
    <w:p>
      <w:r>
        <w:t xml:space="preserve">Negative Marks: 0.33</w:t>
      </w:r>
    </w:p>
    <w:p/>
    <w:p>
      <w:r>
        <w:rPr>
          <w:b/>
        </w:rPr>
        <w:t xml:space="preserve">Question: Antibodies that are the most abundant in serum and primary response antibodies are respectively:</w:t>
      </w:r>
    </w:p>
    <w:p>
      <w:r>
        <w:t xml:space="preserve">(a) IgG and IgM</w:t>
      </w:r>
    </w:p>
    <w:p>
      <w:r>
        <w:t xml:space="preserve">(b) IgM and IgG</w:t>
      </w:r>
    </w:p>
    <w:p>
      <w:r>
        <w:t xml:space="preserve">(c) IgA and IgE</w:t>
      </w:r>
    </w:p>
    <w:p>
      <w:r>
        <w:t xml:space="preserve">(d) IgG and IgE</w:t>
      </w:r>
    </w:p>
    <w:p>
      <w:r>
        <w:t xml:space="preserve">Answer: a</w:t>
      </w:r>
    </w:p>
    <w:p>
      <w:r>
        <w:t xml:space="preserve">Solution: IgG is the most abundant immunoglobulin in serum (70-75% of total). IgM is the primary/first antibody produced in response to initial antigen exposure. IgA is found in secretions, IgE in allergic responses. IgM levels indicate acute infection, making it clinically significant for disease diagnosis. Sequence: IgM (early) → IgG (late, persistent).</w:t>
      </w:r>
    </w:p>
    <w:p>
      <w:r>
        <w:t xml:space="preserve">Positive Marks: 1</w:t>
      </w:r>
    </w:p>
    <w:p>
      <w:r>
        <w:t xml:space="preserve">Negative Marks: 0.33</w:t>
      </w:r>
    </w:p>
    <w:p/>
    <w:p>
      <w:r>
        <w:rPr>
          <w:b/>
        </w:rPr>
        <w:t xml:space="preserve">Question: In ABO blood grouping, which genotype produces the AB blood group phenotype?</w:t>
      </w:r>
    </w:p>
    <w:p>
      <w:r>
        <w:t xml:space="preserve">(a) I^A I^A or I^A i</w:t>
      </w:r>
    </w:p>
    <w:p>
      <w:r>
        <w:t xml:space="preserve">(b) I^B I^B or I^B i</w:t>
      </w:r>
    </w:p>
    <w:p>
      <w:r>
        <w:t xml:space="preserve">(c) I^A I^B</w:t>
      </w:r>
    </w:p>
    <w:p>
      <w:r>
        <w:t xml:space="preserve">(d) ii</w:t>
      </w:r>
    </w:p>
    <w:p>
      <w:r>
        <w:t xml:space="preserve">Answer: c</w:t>
      </w:r>
    </w:p>
    <w:p>
      <w:r>
        <w:t xml:space="preserve">Solution: AB blood group is expressed only with the genotype I^A I^B (codominance). I^A I^A or I^A i produces group A; I^B I^B or I^B i produces group B; ii produces group O. AB individuals have both A and B antigens but no anti-A or anti-B antibodies, making them universal recipients. This is the only way to get AB phenotype.</w:t>
      </w:r>
    </w:p>
    <w:p>
      <w:r>
        <w:t xml:space="preserve">Positive Marks: 1</w:t>
      </w:r>
    </w:p>
    <w:p>
      <w:r>
        <w:t xml:space="preserve">Negative Marks: 0.33</w:t>
      </w:r>
    </w:p>
    <w:p/>
    <w:p>
      <w:r>
        <w:rPr>
          <w:b/>
        </w:rPr>
        <w:t xml:space="preserve">Question: The intrinsic pathway of blood coagulation is initiated by:</w:t>
      </w:r>
    </w:p>
    <w:p>
      <w:r>
        <w:t xml:space="preserve">(a) Tissue factor (TF)</w:t>
      </w:r>
    </w:p>
    <w:p>
      <w:r>
        <w:t xml:space="preserve">(b) Factor XII (Hageman factor)</w:t>
      </w:r>
    </w:p>
    <w:p>
      <w:r>
        <w:t xml:space="preserve">(c) Platelets</w:t>
      </w:r>
    </w:p>
    <w:p>
      <w:r>
        <w:t xml:space="preserve">(d) Thrombin</w:t>
      </w:r>
    </w:p>
    <w:p>
      <w:r>
        <w:t xml:space="preserve">Answer: b</w:t>
      </w:r>
    </w:p>
    <w:p>
      <w:r>
        <w:t xml:space="preserve">Solution: Factor XII (Hageman factor) initiates the intrinsic pathway upon contact with subendothelial collagen. Tissue factor initiates the extrinsic pathway. Platelets are essential for primary hemostasis but don't directly initiate coagulation cascades. Both pathways converge at Factor X. Memory: Intrinsic = Internal contact → Factor XII starts it.</w:t>
      </w:r>
    </w:p>
    <w:p>
      <w:r>
        <w:t xml:space="preserve">Positive Marks: 1</w:t>
      </w:r>
    </w:p>
    <w:p>
      <w:r>
        <w:t xml:space="preserve">Negative Marks: 0.33</w:t>
      </w:r>
    </w:p>
    <w:p/>
    <w:p>
      <w:r>
        <w:rPr>
          <w:b/>
        </w:rPr>
        <w:t xml:space="preserve">Question: Cardiac output is determined by the formula CO = SV × HR. If stroke volume is 70 mL and heart rate is 72 bpm, the cardiac output is approximately:</w:t>
      </w:r>
    </w:p>
    <w:p>
      <w:r>
        <w:t xml:space="preserve">(a) 4.2 L/min</w:t>
      </w:r>
    </w:p>
    <w:p>
      <w:r>
        <w:t xml:space="preserve">(b) 4.9 L/min</w:t>
      </w:r>
    </w:p>
    <w:p>
      <w:r>
        <w:t xml:space="preserve">(c) 5.0 L/min</w:t>
      </w:r>
    </w:p>
    <w:p>
      <w:r>
        <w:t xml:space="preserve">(d) 5.6 L/min</w:t>
      </w:r>
    </w:p>
    <w:p>
      <w:r>
        <w:t xml:space="preserve">Answer: c</w:t>
      </w:r>
    </w:p>
    <w:p>
      <w:r>
        <w:t xml:space="preserve">Solution: Cardiac output = Stroke volume × Heart rate = 70 mL × 72 = 5040 mL = 5.0 L/min (approximately). This is the normal resting cardiac output in healthy adults. Option a (4.2 L/min) and b (4.9 L/min) represent lower outputs seen in certain conditions. Option d exceeds normal range. Normal CO = 5 L/min is a critical benchmark value.</w:t>
      </w:r>
    </w:p>
    <w:p>
      <w:r>
        <w:t xml:space="preserve">Positive Marks: 1</w:t>
      </w:r>
    </w:p>
    <w:p>
      <w:r>
        <w:t xml:space="preserve">Negative Marks: 0.33</w:t>
      </w:r>
    </w:p>
    <w:p/>
    <w:p>
      <w:r>
        <w:rPr>
          <w:b/>
        </w:rPr>
        <w:t xml:space="preserve">Question: During the specific immune response, which of the following is the correct sequence of events?</w:t>
      </w:r>
    </w:p>
    <w:p>
      <w:r>
        <w:t xml:space="preserve">(a) Antigen presentation → T-cell activation → B-cell activation → Antibody production</w:t>
      </w:r>
    </w:p>
    <w:p>
      <w:r>
        <w:t xml:space="preserve">(b) Antigen presentation → B-cell activation → T-cell activation → Antibody production</w:t>
      </w:r>
    </w:p>
    <w:p>
      <w:r>
        <w:t xml:space="preserve">(c) B-cell activation → Antigen presentation → T-cell activation → Antibody production</w:t>
      </w:r>
    </w:p>
    <w:p>
      <w:r>
        <w:t xml:space="preserve">(d) Antigen presentation → T-cell activation → Cytokine release → B-cell activation → Antibody production</w:t>
      </w:r>
    </w:p>
    <w:p>
      <w:r>
        <w:t xml:space="preserve">Answer: d</w:t>
      </w:r>
    </w:p>
    <w:p>
      <w:r>
        <w:t xml:space="preserve">Solution: The adaptive immune response begins with antigen presentation by APCs to helper T cells, which produce cytokines, then activate B cells for antibody production. Option a misses the cytokine-mediated collaboration. Option b reverses T-cell primacy in adaptive immunity. Option c lacks the essential antigen presentation step. T-helper cells are critical coordinators—they must activate before robust B-cell response occurs.</w:t>
      </w:r>
    </w:p>
    <w:p>
      <w:r>
        <w:t xml:space="preserve">Positive Marks: 1</w:t>
      </w:r>
    </w:p>
    <w:p>
      <w:r>
        <w:t xml:space="preserve">Negative Marks: 0.33</w:t>
      </w:r>
    </w:p>
    <w:p/>
    <w:p>
      <w:r>
        <w:rPr>
          <w:b/>
        </w:rPr>
        <w:t xml:space="preserve">Question: A differential leukocyte count shows the following: Neutrophils 70%, Lymphocytes 20%, Monocytes 7%, Eosinophils 2%, Basophils 1%. Which cell type is increased?</w:t>
      </w:r>
    </w:p>
    <w:p>
      <w:r>
        <w:t xml:space="preserve">(a) Lymphocytes</w:t>
      </w:r>
    </w:p>
    <w:p>
      <w:r>
        <w:t xml:space="preserve">(b) Neutrophils</w:t>
      </w:r>
    </w:p>
    <w:p>
      <w:r>
        <w:t xml:space="preserve">(c) Monocytes</w:t>
      </w:r>
    </w:p>
    <w:p>
      <w:r>
        <w:t xml:space="preserve">(d) Eosinophils</w:t>
      </w:r>
    </w:p>
    <w:p>
      <w:r>
        <w:t xml:space="preserve">Answer: b</w:t>
      </w:r>
    </w:p>
    <w:p>
      <w:r>
        <w:t xml:space="preserve">Solution: Normal differential: Neutrophils 60-70%, Lymphocytes 20-30%, Monocytes 3-8%, Eosinophils 1-3%, Basophils 0.5-1%. The given count shows neutrophils at 70% (upper normal) and lymphocytes at 20% (lower normal), indicating relative neutrophilia. Only neutrophils are at the elevated end of normal range while others are within or below normal limits. Neutrophilia suggests bacterial infection or stress response.</w:t>
      </w:r>
    </w:p>
    <w:p>
      <w:r>
        <w:t xml:space="preserve">Positive Marks: 1</w:t>
      </w:r>
    </w:p>
    <w:p>
      <w:r>
        <w:t xml:space="preserve">Negative Marks: 0.33</w:t>
      </w:r>
    </w:p>
    <w:p/>
    <w:p>
      <w:r>
        <w:rPr>
          <w:b/>
        </w:rPr>
        <w:t xml:space="preserve">Question: Blood pressure regulation by baroreceptors occurs through the:</w:t>
      </w:r>
    </w:p>
    <w:p>
      <w:r>
        <w:t xml:space="preserve">(a) Sympathetic nervous system only</w:t>
      </w:r>
    </w:p>
    <w:p>
      <w:r>
        <w:t xml:space="preserve">(b) Parasympathetic nervous system only</w:t>
      </w:r>
    </w:p>
    <w:p>
      <w:r>
        <w:t xml:space="preserve">(c) Autonomic nervous system via vagus and sympathetic nerves</w:t>
      </w:r>
    </w:p>
    <w:p>
      <w:r>
        <w:t xml:space="preserve">(d) Renin-angiotensin system only</w:t>
      </w:r>
    </w:p>
    <w:p>
      <w:r>
        <w:t xml:space="preserve">Answer: c</w:t>
      </w:r>
    </w:p>
    <w:p>
      <w:r>
        <w:t xml:space="preserve">Solution: Baroreceptors in carotid sinus and aortic arch send signals via the vagus (CN X) and glossopharyngeal nerves to the medulla. The medulla then adjusts parasympathetic (vagus) and sympathetic output to regulate BP. Option a and b are incomplete. Option d (renin-angiotensin) is a longer-term regulation mechanism. Autonomic balance is essential—decreased BP increases sympathetic outflow and decreases parasympathetic outflow.</w:t>
      </w:r>
    </w:p>
    <w:p>
      <w:r>
        <w:t xml:space="preserve">Positive Marks: 1</w:t>
      </w:r>
    </w:p>
    <w:p>
      <w:r>
        <w:t xml:space="preserve">Negative Marks: 0.33</w:t>
      </w:r>
    </w:p>
    <w:p/>
    <w:p>
      <w:r>
        <w:rPr>
          <w:b/>
        </w:rPr>
        <w:t xml:space="preserve">Question: In the process of phagocytosis, which cell organelle is responsible for destroying ingested pathogens?</w:t>
      </w:r>
    </w:p>
    <w:p>
      <w:r>
        <w:t xml:space="preserve">(a) Ribosome</w:t>
      </w:r>
    </w:p>
    <w:p>
      <w:r>
        <w:t xml:space="preserve">(b) Lysosome</w:t>
      </w:r>
    </w:p>
    <w:p>
      <w:r>
        <w:t xml:space="preserve">(c) Mitochondrion</w:t>
      </w:r>
    </w:p>
    <w:p>
      <w:r>
        <w:t xml:space="preserve">(d) Endoplasmic reticulum</w:t>
      </w:r>
    </w:p>
    <w:p>
      <w:r>
        <w:t xml:space="preserve">Answer: b</w:t>
      </w:r>
    </w:p>
    <w:p>
      <w:r>
        <w:t xml:space="preserve">Solution: Lysosomes contain hydrolytic enzymes that digest engulfed pathogens after phagosome-lysosome fusion. Ribosomes synthesize proteins; mitochondria produce ATP. Endoplasmic reticulum synthesizes proteins and lipids. When a phagosome fuses with lysosomes, forming a phagolysosome, the pathogen is destroyed. This is central to innate immunity and neutrophil bactericidal activity.</w:t>
      </w:r>
    </w:p>
    <w:p>
      <w:r>
        <w:t xml:space="preserve">Positive Marks: 1</w:t>
      </w:r>
    </w:p>
    <w:p>
      <w:r>
        <w:t xml:space="preserve">Negative Marks: 0.33</w:t>
      </w:r>
    </w:p>
    <w:p/>
    <w:p>
      <w:r>
        <w:rPr>
          <w:b/>
        </w:rPr>
        <w:t xml:space="preserve">Question: Which of the following best describes a primary immune response?</w:t>
      </w:r>
    </w:p>
    <w:p>
      <w:r>
        <w:t xml:space="preserve">(a) Rapid antibody production, mainly IgG</w:t>
      </w:r>
    </w:p>
    <w:p>
      <w:r>
        <w:t xml:space="preserve">(b) Slow antibody production, mainly IgM, with low affinity antibodies</w:t>
      </w:r>
    </w:p>
    <w:p>
      <w:r>
        <w:t xml:space="preserve">(c) Rapid antibody production with high-affinity IgG</w:t>
      </w:r>
    </w:p>
    <w:p>
      <w:r>
        <w:t xml:space="preserve">(d) Immediate cell-mediated response without antibody involvement</w:t>
      </w:r>
    </w:p>
    <w:p>
      <w:r>
        <w:t xml:space="preserve">Answer: b</w:t>
      </w:r>
    </w:p>
    <w:p>
      <w:r>
        <w:t xml:space="preserve">Solution: Primary immune response to first antigen exposure is characterized by slow onset, predominantly IgM antibodies (appearing first), with low-affinity antibodies and longer latency (5-10 days). Secondary response is rapid, mainly IgG (high-affinity). Option a describes secondary response. Option c is also secondary response. Option d lacks antibody involvement. IgM is the hallmark of primary/acute infection.</w:t>
      </w:r>
    </w:p>
    <w:p>
      <w:r>
        <w:t xml:space="preserve">Positive Marks: 1</w:t>
      </w:r>
    </w:p>
    <w:p>
      <w:r>
        <w:t xml:space="preserve">Negative Marks: 0.33</w:t>
      </w:r>
    </w:p>
    <w:p/>
    <w:p>
      <w:r>
        <w:rPr>
          <w:b/>
        </w:rPr>
        <w:t xml:space="preserve">Question: The coronary arteries that supply the inferior wall of the left ventricle are branches of:</w:t>
      </w:r>
    </w:p>
    <w:p>
      <w:r>
        <w:t xml:space="preserve">(a) Left anterior descending artery</w:t>
      </w:r>
    </w:p>
    <w:p>
      <w:r>
        <w:t xml:space="preserve">(b) Left circumflex artery</w:t>
      </w:r>
    </w:p>
    <w:p>
      <w:r>
        <w:t xml:space="preserve">(c) Right coronary artery</w:t>
      </w:r>
    </w:p>
    <w:p>
      <w:r>
        <w:t xml:space="preserve">(d) Left main coronary artery</w:t>
      </w:r>
    </w:p>
    <w:p>
      <w:r>
        <w:t xml:space="preserve">Answer: c</w:t>
      </w:r>
    </w:p>
    <w:p>
      <w:r>
        <w:t xml:space="preserve">Solution: The right coronary artery (RCA) typically supplies the inferior wall of the left ventricle in 80% of individuals (right-dominant system). LAD supplies anterior wall and anterior septum; LCx supplies lateral wall. The left main artery is short and immediately divides into LAD and LCx. Knowledge of coronary distribution is crucial for interpreting MI presentations—inferior MI suggests RCA occlusion.</w:t>
      </w:r>
    </w:p>
    <w:p>
      <w:r>
        <w:t xml:space="preserve">Positive Marks: 1</w:t>
      </w:r>
    </w:p>
    <w:p>
      <w:r>
        <w:t xml:space="preserve">Negative Marks: 0.33</w:t>
      </w:r>
    </w:p>
    <w:p/>
    <w:p>
      <w:r>
        <w:rPr>
          <w:b/>
        </w:rPr>
        <w:t xml:space="preserve">Question: A 35-year-old patient receives an incompatible blood transfusion. Within 5 minutes, he experiences sudden chills, fever, and chest pain. This is most likely an example of:</w:t>
      </w:r>
    </w:p>
    <w:p>
      <w:r>
        <w:t xml:space="preserve">(a) Delayed transfusion reaction</w:t>
      </w:r>
    </w:p>
    <w:p>
      <w:r>
        <w:t xml:space="preserve">(b) Febrile non-hemolytic transfusion reaction</w:t>
      </w:r>
    </w:p>
    <w:p>
      <w:r>
        <w:t xml:space="preserve">(c) Acute hemolytic transfusion reaction</w:t>
      </w:r>
    </w:p>
    <w:p>
      <w:r>
        <w:t xml:space="preserve">(d) Transfusion-related acute lung injury (TRALI)</w:t>
      </w:r>
    </w:p>
    <w:p>
      <w:r>
        <w:t xml:space="preserve">Answer: c</w:t>
      </w:r>
    </w:p>
    <w:p>
      <w:r>
        <w:t xml:space="preserve">Solution: Acute hemolytic transfusion reaction occurs within minutes to hours due to ABO incompatibility, causing intravascular hemolysis. Symptoms include fever, chills, chest/back pain, hemoglobinuria, and hypotension. Febrile reactions develop over hours. Delayed reactions occur days to weeks. TRALI presents with respiratory distress. Immediate severe reaction = acute hemolysis. This is a medical emergency requiring transfusion cessation and supportive care.</w:t>
      </w:r>
    </w:p>
    <w:p>
      <w:r>
        <w:t xml:space="preserve">Positive Marks: 1</w:t>
      </w:r>
    </w:p>
    <w:p>
      <w:r>
        <w:t xml:space="preserve">Negative Marks: 0.33</w:t>
      </w:r>
    </w:p>
    <w:p/>
    <w:p>
      <w:r>
        <w:rPr>
          <w:b/>
        </w:rPr>
        <w:t xml:space="preserve">Question: The blood-brain barrier is most permeable to:</w:t>
      </w:r>
    </w:p>
    <w:p>
      <w:r>
        <w:t xml:space="preserve">(a) Large polar molecules</w:t>
      </w:r>
    </w:p>
    <w:p>
      <w:r>
        <w:t xml:space="preserve">(b) Proteins and glucose</w:t>
      </w:r>
    </w:p>
    <w:p>
      <w:r>
        <w:t xml:space="preserve">(c) Lipid-soluble substances and small water molecules</w:t>
      </w:r>
    </w:p>
    <w:p>
      <w:r>
        <w:t xml:space="preserve">(d) Ions and charged molecules</w:t>
      </w:r>
    </w:p>
    <w:p>
      <w:r>
        <w:t xml:space="preserve">Answer: c</w:t>
      </w:r>
    </w:p>
    <w:p>
      <w:r>
        <w:t xml:space="preserve">Solution: The BBB has selective permeability, allowing lipid-soluble substances (gases, anesthetics) and small water molecules to cross. Large polar molecules, proteins, and ions cannot easily cross due to tight junctions between endothelial cells and the lack of fenestrations. This explains why antibiotics and many drugs have limited CNS penetration unless specifically designed. Glucose crosses via facilitated diffusion.</w:t>
      </w:r>
    </w:p>
    <w:p>
      <w:r>
        <w:t xml:space="preserve">Positive Marks: 1</w:t>
      </w:r>
    </w:p>
    <w:p>
      <w:r>
        <w:t xml:space="preserve">Negative Marks: 0.33</w:t>
      </w:r>
    </w:p>
    <w:p/>
    <w:p>
      <w:r>
        <w:rPr>
          <w:b/>
        </w:rPr>
        <w:t xml:space="preserve">Question: In hemolytic disease of the newborn due to Rh incompatibility, sensitization of the Rh-negative mother typically occurs during:</w:t>
      </w:r>
    </w:p>
    <w:p>
      <w:r>
        <w:t xml:space="preserve">(a) Pregnancy only</w:t>
      </w:r>
    </w:p>
    <w:p>
      <w:r>
        <w:t xml:space="preserve">(b) Delivery when fetal and maternal blood mix</w:t>
      </w:r>
    </w:p>
    <w:p>
      <w:r>
        <w:t xml:space="preserve">(c) Breastfeeding</w:t>
      </w:r>
    </w:p>
    <w:p>
      <w:r>
        <w:t xml:space="preserve">(d) Postnatal vaccination</w:t>
      </w:r>
    </w:p>
    <w:p>
      <w:r>
        <w:t xml:space="preserve">Answer: b</w:t>
      </w:r>
    </w:p>
    <w:p>
      <w:r>
        <w:t xml:space="preserve">Solution: Sensitization occurs when fetal RBCs (Rh-positive) enter the maternal circulation, usually during labor/delivery when the placental barrier breaks. Minimal transplacental hemorrhage during pregnancy can occur but is less common. Breastfeeding and vaccination don't cause sensitization. Administration of anti-D (RhoGAM) within 72 hours of delivery prevents sensitization. This is why subsequent Rh-positive pregnancies are at risk for hemolytic disease.</w:t>
      </w:r>
    </w:p>
    <w:p>
      <w:r>
        <w:t xml:space="preserve">Positive Marks: 1</w:t>
      </w:r>
    </w:p>
    <w:p>
      <w:r>
        <w:t xml:space="preserve">Negative Marks: 0.33</w:t>
      </w:r>
    </w:p>
    <w:p/>
    <w:p>
      <w:r>
        <w:rPr>
          <w:b/>
        </w:rPr>
        <w:t xml:space="preserve">Question: A patient shows increased bleeding tendency with normal platelet count but prolonged bleeding time. This most likely indicates:</w:t>
      </w:r>
    </w:p>
    <w:p>
      <w:r>
        <w:t xml:space="preserve">(a) Thrombocytopenia</w:t>
      </w:r>
    </w:p>
    <w:p>
      <w:r>
        <w:t xml:space="preserve">(b) Platelet dysfunction</w:t>
      </w:r>
    </w:p>
    <w:p>
      <w:r>
        <w:t xml:space="preserve">(c) Deficiency of clotting factors</w:t>
      </w:r>
    </w:p>
    <w:p>
      <w:r>
        <w:t xml:space="preserve">(d) Vitamin K deficiency</w:t>
      </w:r>
    </w:p>
    <w:p>
      <w:r>
        <w:t xml:space="preserve">Answer: b</w:t>
      </w:r>
    </w:p>
    <w:p>
      <w:r>
        <w:t xml:space="preserve">Solution: Normal platelet count with prolonged bleeding time indicates qualitative platelet defect (dysfunction), not quantitative deficiency. Bleeding time specifically tests platelet function. Thrombocytopenia would show low count. Factor deficiencies affect prothrombin/activated partial thromboplastin time, not bleeding time. Vitamin K deficiency affects extrinsic pathway (PT). Bleeding time = platelet function test; PT/aPTT = coagulation cascade tests.</w:t>
      </w:r>
    </w:p>
    <w:p>
      <w:r>
        <w:t xml:space="preserve">Positive Marks: 1</w:t>
      </w:r>
    </w:p>
    <w:p>
      <w:r>
        <w:t xml:space="preserve">Negative Marks: 0.33</w:t>
      </w:r>
    </w:p>
    <w:p/>
    <w:p>
      <w:r>
        <w:rPr>
          <w:b/>
        </w:rPr>
        <w:t xml:space="preserve">Question: Which of the following represents the correct sequence of valves encountered when tracing blood flow through the heart?</w:t>
      </w:r>
    </w:p>
    <w:p>
      <w:r>
        <w:t xml:space="preserve">(a) Tricuspid → Pulmonary → Mitral → Aortic</w:t>
      </w:r>
    </w:p>
    <w:p>
      <w:r>
        <w:t xml:space="preserve">(b) Mitral → Aortic → Tricuspid → Pulmonary</w:t>
      </w:r>
    </w:p>
    <w:p>
      <w:r>
        <w:t xml:space="preserve">(c) Tricuspid → Mitral → Pulmonary → Aortic</w:t>
      </w:r>
    </w:p>
    <w:p>
      <w:r>
        <w:t xml:space="preserve">(d) Tricuspid → Aortic → Mitral → Pulmonary</w:t>
      </w:r>
    </w:p>
    <w:p>
      <w:r>
        <w:t xml:space="preserve">Answer: a</w:t>
      </w:r>
    </w:p>
    <w:p>
      <w:r>
        <w:t xml:space="preserve">Solution: Blood enters right atrium → tricuspid valve → right ventricle → pulmonary valve → lungs → pulmonary veins → left atrium → mitral valve → left ventricle → aortic valve → aorta. Option a is the correct systemic and pulmonary circulation sequence. Other options scramble this anatomical pathway. The sequence alternates between right-side (tricuspid-pulmonary) and left-side (mitral-aortic) valves.</w:t>
      </w:r>
    </w:p>
    <w:p>
      <w:r>
        <w:t xml:space="preserve">Positive Marks: 1</w:t>
      </w:r>
    </w:p>
    <w:p>
      <w:r>
        <w:t xml:space="preserve">Negative Marks: 0.33</w:t>
      </w:r>
    </w:p>
    <w:p/>
    <w:p>
      <w:r>
        <w:rPr>
          <w:b/>
        </w:rPr>
        <w:t xml:space="preserve">Question: A patient with severe infection shows a markedly elevated WBC count with a 'left shift' in the differential. This finding primarily indicates:</w:t>
      </w:r>
    </w:p>
    <w:p>
      <w:r>
        <w:t xml:space="preserve">(a) Bone marrow suppression</w:t>
      </w:r>
    </w:p>
    <w:p>
      <w:r>
        <w:t xml:space="preserve">(b) Increased immature neutrophil release from bone marrow</w:t>
      </w:r>
    </w:p>
    <w:p>
      <w:r>
        <w:t xml:space="preserve">(c) Lymphocytosis from viral infection</w:t>
      </w:r>
    </w:p>
    <w:p>
      <w:r>
        <w:t xml:space="preserve">(d) Chronic leukemia</w:t>
      </w:r>
    </w:p>
    <w:p>
      <w:r>
        <w:t xml:space="preserve">Answer: b</w:t>
      </w:r>
    </w:p>
    <w:p>
      <w:r>
        <w:t xml:space="preserve">Solution: Left shift indicates increased bands and immature neutrophils in peripheral blood, reflecting rapid release of young neutrophils from bone marrow in response to acute infection. Bone marrow suppression would decrease WBC. Viral infections cause lymphocytosis, not left shift. Chronic leukemia shows progressive elevation over time without acute response. Left shift = acute demand exceeds marrow's maturation rate. This is a sign of serious infection requiring immediate attention.</w:t>
      </w:r>
    </w:p>
    <w:p>
      <w:r>
        <w:t xml:space="preserve">Positive Marks: 1</w:t>
      </w:r>
    </w:p>
    <w:p>
      <w:r>
        <w:t xml:space="preserve">Negative Marks: 0.33</w:t>
      </w:r>
    </w:p>
    <w:p/>
    <w:p>
      <w:r>
        <w:rPr>
          <w:b/>
        </w:rPr>
        <w:t xml:space="preserve">Question: In ABO blood grouping, an individual with genotype IAIB will have:</w:t>
      </w:r>
    </w:p>
    <w:p>
      <w:r>
        <w:t xml:space="preserve">(a) Type A blood with anti-B antibodies only</w:t>
      </w:r>
    </w:p>
    <w:p>
      <w:r>
        <w:t xml:space="preserve">(b) Type B blood with anti-A antibodies only</w:t>
      </w:r>
    </w:p>
    <w:p>
      <w:r>
        <w:t xml:space="preserve">(c) Type AB blood with neither anti-A nor anti-B antibodies</w:t>
      </w:r>
    </w:p>
    <w:p>
      <w:r>
        <w:t xml:space="preserve">(d) Type O blood with both anti-A and anti-B antibodies</w:t>
      </w:r>
    </w:p>
    <w:p>
      <w:r>
        <w:t xml:space="preserve">Answer: c</w:t>
      </w:r>
    </w:p>
    <w:p>
      <w:r>
        <w:t xml:space="preserve">Solution: The genotype IAIB produces AB blood phenotype because both IA and IB alleles are codominant, expressing both A and B antigens on RBCs. AB individuals lack natural anti-A and anti-B antibodies (isoagglutinins) as these would destroy their own cells. Type A (IAIA/IAi) has anti-B antibodies; Type B (IBIB/IBi) has anti-A antibodies; Type O (ii) has both. Clinical significance: AB is the universal recipient group (can receive blood from all types) but can donate only to other AB individuals. Mnemonic: 'When you possess both antigens, you possess neither antibody' - preventing self-directed hemolysis.</w:t>
      </w:r>
    </w:p>
    <w:p>
      <w:r>
        <w:t xml:space="preserve">Positive Marks: 1</w:t>
      </w:r>
    </w:p>
    <w:p>
      <w:r>
        <w:t xml:space="preserve">Negative Marks: 0.33</w:t>
      </w:r>
    </w:p>
    <w:sectPr>
      <w:pgSz w:w="11906" w:h="16838"/>
      <w:pgMar w:top="1134" w:right="1134" w:bottom="1134" w:left="1134"/>
    </w:sectPr>
  </w:body>
</w:document>
</file>