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Is Patient A's blood pressure reading classified as Stage 2 Hypertension? Statement 1: Patient A's systolic pressure is 160 mmHg. Statement 2: Patient A's diastolic pressure is 100 mmHg.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a</w:t>
      </w:r>
    </w:p>
    <w:p>
      <w:r>
        <w:t xml:space="preserve">Solution: Stage 2 Hypertension is defined as systolic ≥160 mmHg OR diastolic ≥100 mmHg. Statement 1 provides 160 mmHg systolic, which alone confirms Stage 2 Hypertension. Statement 2 alone also confirms it (≥100 mmHg diastolic). Therefore, either statement is independently sufficient. The answer is 'a' because Statement 1 alone provides enough information to classify the condition.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determine if a patient has hypoglycemia? Statement 1: The patient's blood glucose level is 65 mg/dL. Statement 2: The patient is experiencing tremors and sweating.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a</w:t>
      </w:r>
    </w:p>
    <w:p>
      <w:r>
        <w:t xml:space="preserve">Solution: Hypoglycemia is defined as blood glucose &lt;70 mg/dL (or sometimes &lt;80 mg/dL depending on protocol). Statement 1 directly provides the glucose value of 65 mg/dL, which definitively confirms hypoglycemia. Statement 2 describes symptoms that could indicate hypoglycemia but are not diagnostic alone (tremors and sweating can have other causes). Only Statement 1 is sufficient.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Is the patient in acute kidney injury Stage 3? Statement 1: Serum creatinine increased from 1.0 to 2.5 mg/dL over 48 hours. Statement 2: Urine output is 0.3 mL/kg/hour.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AKI staging requires both serum creatinine criteria AND urine output criteria. Statement 1 shows creatinine increase (KDIGO criteria met) but doesn't provide baseline data for proper classification. Statement 2 shows reduced urine output (&lt;0.5 mL/kg/hour for stage 1-2). Together, both statements provide sufficient evidence to classify as AKI Stage 3, which requires creatinine elevation AND oliguria. Neither alone is sufficient for complete staging.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calculate a patient's Body Mass Index (BMI)? Statement 1: The patient weighs 70 kg and is 1.75 meters tall. Statement 2: The patient's waist circumference is 90 cm.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a</w:t>
      </w:r>
    </w:p>
    <w:p>
      <w:r>
        <w:t xml:space="preserve">Solution: BMI is calculated using the formula: BMI = weight (kg) / height² (m²). Statement 1 provides both weight (70 kg) and height (1.75 m), allowing direct BMI calculation (BMI = 70/3.06 ≈ 22.9). Statement 2 provides only waist circumference, which measures central obesity but not BMI. Therefore, Statement 1 alone is sufficient.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Does the patient have diabetes mellitus based on fasting glucose levels? Statement 1: Fasting blood glucose is 126 mg/dL on one occasion. Statement 2: Fasting blood glucose is 128 mg/dL when repeated the next day.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ADA diagnostic criteria for diabetes require fasting glucose ≥126 mg/dL confirmed on two occasions or additional clinical evidence. Statement 1 alone shows elevated glucose but doesn't meet the confirmation requirement. Statement 2 provides the necessary second reading confirming elevated levels. Together, both statements satisfy the diagnostic criteria requiring repeated elevated fasting glucose (126+ mg/dL) on separate occasions.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Is the patient at risk for developing ARDS (Acute Respiratory Distress Syndrome)? Statement 1: Patient has severe pneumonia with bilateral infiltrates on chest X-ray. Statement 2: PaO2/FiO2 ratio is 180.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b</w:t>
      </w:r>
    </w:p>
    <w:p>
      <w:r>
        <w:t xml:space="preserve">Solution: ARDS diagnosis requires the PaO2/FiO2 ratio (Berlin criteria). A ratio ≤300 indicates ARDS (moderate if 100-300). Statement 2 alone with ratio of 180 confirms ARDS presence (not just risk). Statement 1 shows pneumonia but pneumonia alone doesn't confirm ARDS. Statement 2 is sufficient as it provides the diagnostic criterion; however, the question asks about 'risk', and statement 2 confirms actual ARDS, not just risk. Technically, Statement 2 alone is most sufficient for determining ARDS status.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determine the patient's eligibility for thrombolytic therapy in acute stroke? Statement 1: Symptom onset was 2 hours ago. Statement 2: CT scan shows no intracranial hemorrhage.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Thrombolytic eligibility requires BOTH time window (within 4.5 hours for IV tPA) AND exclusion of hemorrhage via imaging. Statement 1 confirms the time window (2 hours is within 4.5 hours). Statement 2 confirms no hemorrhage on CT. Neither statement alone is sufficient for complete eligibility assessment. Both statements together establish two critical criteria required for thrombolytic therapy decision-making.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Is the newborn experiencing physiological jaundice? Statement 1: Jaundice appears on day 3 of life. Statement 2: Serum bilirubin level is 8 mg/dL.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Physiological jaundice diagnosis requires both timing (appears after 24 hours, typically days 2-4) AND bilirubin levels within expected phototherapy nomogram range for age. Statement 1 shows appropriate timing but doesn't confirm bilirubin levels. Statement 2 provides bilirubin level (8 mg/dL is generally acceptable for day 3) but without timing information. Both statements together confirm physiological jaundice pattern when age-specific nomogram correlation is applied.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diagnose Gestational Diabetes Mellitus (GDM) from oral glucose tolerance test results? Statement 1: 1-hour value after 50g OGCT is 145 mg/dL. Statement 2: 2-hour value after 75g OGTT is 155 mg/dL.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b</w:t>
      </w:r>
    </w:p>
    <w:p>
      <w:r>
        <w:t xml:space="preserve">Solution: GDM diagnosis criteria (ADA): using 75g 2-hour OGTT, values ≥140 mg/dL indicate GDM. Statement 2 provides the diagnostic 2-hour OGTT result of 155 mg/dL, confirming GDM. Statement 1 provides initial screening (50g) result, which if ≥140 mg/dL indicates need for confirmatory testing but alone is not diagnostic. Only Statement 2 provides the actual diagnostic test result.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Does the patient meet criteria for severe sepsis? Statement 1: Patient has fever (38.5°C), tachycardia (110 bpm), and confirmed bacterial infection. Statement 2: Lactate level is 3.2 mmol/L and systolic BP is 85 mmHg despite fluid resuscitation.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Severe sepsis (now called sepsis with organ dysfunction per Sepsis-3) requires infection PLUS organ dysfunction/hyperlactatemia. Statement 1 confirms sepsis (infection + SIRS criteria) but doesn't establish organ dysfunction. Statement 2 shows organ dysfunction (elevated lactate 3.2, hypotension). Together, both statements establish sepsis with organ dysfunction, meeting criteria for severe sepsis/septic shock.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calculate drug dose based on creatinine clearance for dose adjustment? Statement 1: Patient's serum creatinine is 2.5 mg/dL. Statement 2: Patient is 75 years old, 70 kg weight, and male.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Creatinine clearance (CrCl) is calculated using Cockcroft-Gault formula: CrCl = [(140-age) × weight × (0.85 if female)] / (72 × Scr). Statement 1 alone provides only creatinine; direct CrCl calculation requires multiple parameters. Statement 2 provides age, weight, and gender but not creatinine. Both statements together provide all variables needed for Cockcroft-Gault calculation to determine drug dose adjustment.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Is the patient in hypovolemic shock? Statement 1: Blood pressure is 90/60 mmHg and heart rate is 120 bpm. Statement 2: Recent loss of 1500 mL blood from gastrointestinal hemorrhage occurred 2 hours ago.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Hypovolemic shock diagnosis requires evidence of hypotension/hypoperfusion (clinical signs) PLUS documented volume loss. Statement 1 shows compensatory signs (tachycardia, hypotension) consistent with shock but could indicate other shock types. Statement 2 documents fluid loss but physical exam findings confirm shock. Both statements together establish clear hypovolemic shock (documented hemorrhage with corresponding shock physiology).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confirm the patient has acute myocardial infarction (AMI)? Statement 1: ECG shows ST-elevation in leads II, III, and aVF. Statement 2: Troponin I level is 0.8 ng/mL.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a</w:t>
      </w:r>
    </w:p>
    <w:p>
      <w:r>
        <w:t xml:space="preserve">Solution: For STEMI (ST-elevation MI), ST-segment elevation on ECG in specific territories is diagnostic and sufficient for immediate intervention decision. Statement 1 shows ST-elevation in inferior leads, confirming inferior STEMI. Statement 2 shows elevated troponin consistent with myocardial necrosis but isn't diagnostic alone for AMI subtype. Statement 1 alone provides sufficient diagnostic information; Statement 2 provides supportive but non-diagnostic confirmation.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Does the patient have urinary tract infection (UTI) based on urinalysis? Statement 1: Urinalysis shows presence of leukocyte esterase and nitrites. Statement 2: Urine shows &gt;100,000 CFU/mL on culture.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b</w:t>
      </w:r>
    </w:p>
    <w:p>
      <w:r>
        <w:t xml:space="preserve">Solution: UTI diagnosis requires bacterial culture growth (&gt;100,000 CFU/mL in midstream clean-catch or any growth in catheterized specimens). Statement 2 provides definitive microbiological diagnosis. Statement 1 shows UA findings suggestive of infection but pyuria can occur without infection (sterile pyuria, contamination). Only Statement 2 provides definitive microbiological confirmation of UTI.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assess the severity of a patient's anemia? Statement 1: Hemoglobin level is 7.2 g/dL. Statement 2: Patient has visible pallor and dyspnea at rest.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a</w:t>
      </w:r>
    </w:p>
    <w:p>
      <w:r>
        <w:t xml:space="preserve">Solution: Anemia severity is classified by hemoglobin levels: mild (10-12), moderate (7-10), severe (&lt;7 g/dL). Statement 1 provides 7.2 g/dL, directly classifying anemia as moderate-severe. Statement 2 describes clinical manifestations but these can vary individually and don't objectively classify severity. Statement 1 alone provides objective measurement sufficient for severity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Is the patient experiencing compensated metabolic acidosis? Statement 1: pH is 7.32 with HCO3- of 16 mEq/L. Statement 2: PaCO2 is 30 mmHg.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Complete acid-base analysis requires pH, HCO3-, and PaCO2 interpretation. Statement 1 shows metabolic acidosis (low pH, low HCO3-) but doesn't show if respiratory compensation is appropriate. Statement 2 shows respiratory response (low PaCO2). Together, both statements allow calculation of appropriate respiratory compensation using Winter's formula, confirming whether compensation is adequate/appropriate, indicating primary metabolic acidosis with appropriate respiratory compensation.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determine if a patient has hyperkalemia requiring intervention? Statement 1: Serum potassium is 6.8 mEq/L. Statement 2: ECG shows peaked T waves and widened QRS complex.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a</w:t>
      </w:r>
    </w:p>
    <w:p>
      <w:r>
        <w:t xml:space="preserve">Solution: Hyperkalemia is defined as K+ &gt;5.5 mEq/L (or &gt;5.0 mEq/L in some protocols), and urgent intervention is needed when K+ ≥6.0 mEq/L OR ECG changes present. Statement 1 shows 6.8 mEq/L, clearly indicating severe hyperkalemia requiring intervention. Statement 2 shows ECG changes consistent with hyperkalemia but could reflect historical readings. Statement 1 alone provides current definitive measurement sufficient for intervention decision.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Does the patient have acute liver failure requiring transplant evaluation? Statement 1: Prothrombin time (PT/INR) is elevated to 3.0 and total bilirubin is 8 mg/dL. Statement 2: Encephalopathy (Grade II) developed within 8 weeks of symptom onset with no prior cirrhosis history.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Acute liver failure (King's College criteria) requires: coagulopathy (PT/INR ≥1.5) AND hepatic encephalopathy of any grade with illness onset &lt;8 weeks, with no prior cirrhosis. Statement 1 shows coagulopathy and jaundice but lacks encephalopathy and timeline information. Statement 2 provides encephalopathy, timeline, and no prior cirrhosis. Both statements together satisfy diagnostic criteria for acute liver failure.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Can we confirm the patient has septic shock? Statement 1: Patient has confirmed infection (positive blood culture) with fever, tachycardia, and hypotension (SBP 80 mmHg despite 2L crystalloid bolus). Statement 2: Lactate level is 4.5 mmol/L, indicating tissue hypoperfusion.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a</w:t>
      </w:r>
    </w:p>
    <w:p>
      <w:r>
        <w:t xml:space="preserve">Solution: Septic shock (Sepsis-3) requires infection + persistent hypotension requiring vasopressors/fluid to maintain MAP ≥65 mmHg OR lactate ≥2 mmol/L. Statement 1 alone fulfills criteria: confirmed infection + hypotension despite fluid resuscitation. Statement 2 confirms tissue hypoperfusion but isn't required if Statement 1 criteria are met. Statement 1 provides sufficient information for septic shock diagnosis.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Is this patient a candidate for percutaneous coronary intervention (PCI) in STEMI? Statement 1: Symptom onset was 3 hours ago with ST-elevation MI confirmed on ECG. Statement 2: Patient has no contraindications and is hemodynamically stable with door-to-balloon time achievable within 90 minutes.</w:t>
      </w:r>
    </w:p>
    <w:p>
      <w:r>
        <w:t xml:space="preserve">(a) Statement 1 alone is sufficient</w:t>
      </w:r>
    </w:p>
    <w:p>
      <w:r>
        <w:t xml:space="preserve">(b) Statement 2 alone is sufficient</w:t>
      </w:r>
    </w:p>
    <w:p>
      <w:r>
        <w:t xml:space="preserve">(c) Both statements together are sufficient</w:t>
      </w:r>
    </w:p>
    <w:p>
      <w:r>
        <w:t xml:space="preserve">(d) Neither statement alone nor together is sufficient</w:t>
      </w:r>
    </w:p>
    <w:p>
      <w:r>
        <w:t xml:space="preserve">Answer: c</w:t>
      </w:r>
    </w:p>
    <w:p>
      <w:r>
        <w:t xml:space="preserve">Solution: PCI candidacy in STEMI requires both acute STEMI confirmation (clinical + ECG evidence within 12 hours) AND institutional capability to provide PCI within appropriate time frame. Statement 1 confirms STEMI within time window but doesn't address institutional capability or contraindications. Statement 2 provides logistical feasibility and absence of contraindications. Both statements together establish complete candidacy assessment for emergent PCI.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