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daily energy requirement for a sedentary 70-year-old male according to recommended dietary allowances?</w:t>
      </w:r>
    </w:p>
    <w:p>
      <w:r>
        <w:t xml:space="preserve">(a) 1800-2000 kcal</w:t>
      </w:r>
    </w:p>
    <w:p>
      <w:r>
        <w:t xml:space="preserve">(b) 2400-2600 kcal</w:t>
      </w:r>
    </w:p>
    <w:p>
      <w:r>
        <w:t xml:space="preserve">(c) 2200-2400 kcal</w:t>
      </w:r>
    </w:p>
    <w:p>
      <w:r>
        <w:t xml:space="preserve">(d) 3000-3200 kcal</w:t>
      </w:r>
    </w:p>
    <w:p>
      <w:r>
        <w:t xml:space="preserve">Answer: a</w:t>
      </w:r>
    </w:p>
    <w:p>
      <w:r>
        <w:t xml:space="preserve">Solution: Elderly sedentary males (&gt;60 years) require approximately 1800-2000 kcal/day due to decreased metabolic rate and reduced physical activity. Option B is excessive (suits moderately active younger adults). Option C exceeds sedentary needs. Option D is for physically active younger individuals. Memory aid: Elderly energy = age/3 + basic metabolic rate.</w:t>
      </w:r>
    </w:p>
    <w:p>
      <w:r>
        <w:t xml:space="preserve">Positive Marks: 1</w:t>
      </w:r>
    </w:p>
    <w:p>
      <w:r>
        <w:t xml:space="preserve">Negative Marks: 0.33</w:t>
      </w:r>
    </w:p>
    <w:p/>
    <w:p>
      <w:r>
        <w:rPr>
          <w:b/>
        </w:rPr>
        <w:t xml:space="preserve">Question: Which factor is the primary cause of malnutrition in elderly population in developing countries?</w:t>
      </w:r>
    </w:p>
    <w:p>
      <w:r>
        <w:t xml:space="preserve">(a) Increased metabolic rate with age</w:t>
      </w:r>
    </w:p>
    <w:p>
      <w:r>
        <w:t xml:space="preserve">(b) Economic hardship and poverty</w:t>
      </w:r>
    </w:p>
    <w:p>
      <w:r>
        <w:t xml:space="preserve">(c) Hyperactivity requiring excess calories</w:t>
      </w:r>
    </w:p>
    <w:p>
      <w:r>
        <w:t xml:space="preserve">(d) Excessive protein intake leading to satiety</w:t>
      </w:r>
    </w:p>
    <w:p>
      <w:r>
        <w:t xml:space="preserve">Answer: b</w:t>
      </w:r>
    </w:p>
    <w:p>
      <w:r>
        <w:t xml:space="preserve">Solution: Poverty and economic limitations are the leading cause of malnutrition in elderly in developing countries, limiting food access and diversity. Metabolism actually decreases with age (eliminates A). Elderly are usually less active (eliminates C). Excess protein doesn't cause malnutrition (eliminates D). Common scenario: elderly living on fixed pensions cannot afford nutritious foods.</w:t>
      </w:r>
    </w:p>
    <w:p>
      <w:r>
        <w:t xml:space="preserve">Positive Marks: 1</w:t>
      </w:r>
    </w:p>
    <w:p>
      <w:r>
        <w:t xml:space="preserve">Negative Marks: 0.33</w:t>
      </w:r>
    </w:p>
    <w:p/>
    <w:p>
      <w:r>
        <w:rPr>
          <w:b/>
        </w:rPr>
        <w:t xml:space="preserve">Question: The recommended protein intake for healthy elderly adults is approximately:</w:t>
      </w:r>
    </w:p>
    <w:p>
      <w:r>
        <w:t xml:space="preserve">(a) 0.4 g/kg/day</w:t>
      </w:r>
    </w:p>
    <w:p>
      <w:r>
        <w:t xml:space="preserve">(b) 0.8 g/kg/day</w:t>
      </w:r>
    </w:p>
    <w:p>
      <w:r>
        <w:t xml:space="preserve">(c) 1.2 g/kg/day</w:t>
      </w:r>
    </w:p>
    <w:p>
      <w:r>
        <w:t xml:space="preserve">(d) 1.6 g/kg/day</w:t>
      </w:r>
    </w:p>
    <w:p>
      <w:r>
        <w:t xml:space="preserve">Answer: c</w:t>
      </w:r>
    </w:p>
    <w:p>
      <w:r>
        <w:t xml:space="preserve">Solution: Current guidelines recommend 1.0-1.2 g/kg/day protein for elderly (higher than younger adults' 0.8) to maintain muscle mass and function. 0.4 g/kg is deficient (eliminates A). Standard adult 0.8 g/kg is insufficient for age-related sarcopenia (eliminates B). 1.6 is excessive (eliminates D). Trick: Elderly need MORE protein despite lower calories due to anabolic resistance.</w:t>
      </w:r>
    </w:p>
    <w:p>
      <w:r>
        <w:t xml:space="preserve">Positive Marks: 1</w:t>
      </w:r>
    </w:p>
    <w:p>
      <w:r>
        <w:t xml:space="preserve">Negative Marks: 0.33</w:t>
      </w:r>
    </w:p>
    <w:p/>
    <w:p>
      <w:r>
        <w:rPr>
          <w:b/>
        </w:rPr>
        <w:t xml:space="preserve">Question: The primary physiological change in taste sensation that occurs with aging is:</w:t>
      </w:r>
    </w:p>
    <w:p>
      <w:r>
        <w:t xml:space="preserve">(a) Increase in number and sensitivity of taste buds</w:t>
      </w:r>
    </w:p>
    <w:p>
      <w:r>
        <w:t xml:space="preserve">(b) Decrease in taste buds combined with reduced salivary flow</w:t>
      </w:r>
    </w:p>
    <w:p>
      <w:r>
        <w:t xml:space="preserve">(c) Increased saliva production enhancing taste perception</w:t>
      </w:r>
    </w:p>
    <w:p>
      <w:r>
        <w:t xml:space="preserve">(d) Enlargement of tongue tissue affecting taste receptors</w:t>
      </w:r>
    </w:p>
    <w:p>
      <w:r>
        <w:t xml:space="preserve">Answer: b</w:t>
      </w:r>
    </w:p>
    <w:p>
      <w:r>
        <w:t xml:space="preserve">Solution: Aging causes both decreased taste bud density (approximately 60% loss by age 70) and reduced saliva production, impairing taste and swallowing. Option A is opposite of reality (eliminates A). Saliva actually decreases with age (eliminates C). Tongue doesn't enlarge (eliminates D). Clinical impact: reduced appetite, poor intake, and higher sodium use to enhance taste.</w:t>
      </w:r>
    </w:p>
    <w:p>
      <w:r>
        <w:t xml:space="preserve">Positive Marks: 1</w:t>
      </w:r>
    </w:p>
    <w:p>
      <w:r>
        <w:t xml:space="preserve">Negative Marks: 0.33</w:t>
      </w:r>
    </w:p>
    <w:p/>
    <w:p>
      <w:r>
        <w:rPr>
          <w:b/>
        </w:rPr>
        <w:t xml:space="preserve">Question: An elderly patient on long-term proton pump inhibitor (PPI) therapy is at increased risk of which vitamin deficiency?</w:t>
      </w:r>
    </w:p>
    <w:p>
      <w:r>
        <w:t xml:space="preserve">(a) Vitamin C deficiency</w:t>
      </w:r>
    </w:p>
    <w:p>
      <w:r>
        <w:t xml:space="preserve">(b) Vitamin B12 deficiency</w:t>
      </w:r>
    </w:p>
    <w:p>
      <w:r>
        <w:t xml:space="preserve">(c) Vitamin A deficiency</w:t>
      </w:r>
    </w:p>
    <w:p>
      <w:r>
        <w:t xml:space="preserve">(d) Vitamin E deficiency</w:t>
      </w:r>
    </w:p>
    <w:p>
      <w:r>
        <w:t xml:space="preserve">Answer: b</w:t>
      </w:r>
    </w:p>
    <w:p>
      <w:r>
        <w:t xml:space="preserve">Solution: PPIs reduce gastric acid, impairing B12 absorption from food, especially critical in elderly who already have reduced intrinsic factor. Vitamin C absorption is minimally affected (eliminates A). Vitamin A absorption requires fat, not acid (eliminates C). Vitamin E doesn't require acid for absorption (eliminates D). Memory: PPIs block acid → impair B12 (needs acid to release from proteins).</w:t>
      </w:r>
    </w:p>
    <w:p>
      <w:r>
        <w:t xml:space="preserve">Positive Marks: 1</w:t>
      </w:r>
    </w:p>
    <w:p>
      <w:r>
        <w:t xml:space="preserve">Negative Marks: 0.33</w:t>
      </w:r>
    </w:p>
    <w:p/>
    <w:p>
      <w:r>
        <w:rPr>
          <w:b/>
        </w:rPr>
        <w:t xml:space="preserve">Question: Which mineral is most critical for prevention of osteoporosis in elderly women?</w:t>
      </w:r>
    </w:p>
    <w:p>
      <w:r>
        <w:t xml:space="preserve">(a) Phosphorus</w:t>
      </w:r>
    </w:p>
    <w:p>
      <w:r>
        <w:t xml:space="preserve">(b) Potassium</w:t>
      </w:r>
    </w:p>
    <w:p>
      <w:r>
        <w:t xml:space="preserve">(c) Calcium</w:t>
      </w:r>
    </w:p>
    <w:p>
      <w:r>
        <w:t xml:space="preserve">(d) Magnesium</w:t>
      </w:r>
    </w:p>
    <w:p>
      <w:r>
        <w:t xml:space="preserve">Answer: c</w:t>
      </w:r>
    </w:p>
    <w:p>
      <w:r>
        <w:t xml:space="preserve">Solution: Calcium is the primary structural mineral in bone; elderly women especially need adequate intake (1000-1200 mg/day) to prevent accelerated bone loss post-menopause. Phosphorus excess actually impairs calcium absorption (eliminates A). Potassium affects acid-base balance, not bone directly (eliminates B). Magnesium is cofactor but secondary to calcium (eliminates D). Clinical cornerstone: calcium + vitamin D + weight-bearing exercise.</w:t>
      </w:r>
    </w:p>
    <w:p>
      <w:r>
        <w:t xml:space="preserve">Positive Marks: 1</w:t>
      </w:r>
    </w:p>
    <w:p>
      <w:r>
        <w:t xml:space="preserve">Negative Marks: 0.33</w:t>
      </w:r>
    </w:p>
    <w:p/>
    <w:p>
      <w:r>
        <w:rPr>
          <w:b/>
        </w:rPr>
        <w:t xml:space="preserve">Question: The recommended dietary iron intake for post-menopausal elderly women is:</w:t>
      </w:r>
    </w:p>
    <w:p>
      <w:r>
        <w:t xml:space="preserve">(a) 8 mg/day</w:t>
      </w:r>
    </w:p>
    <w:p>
      <w:r>
        <w:t xml:space="preserve">(b) 18 mg/day</w:t>
      </w:r>
    </w:p>
    <w:p>
      <w:r>
        <w:t xml:space="preserve">(c) 27 mg/day</w:t>
      </w:r>
    </w:p>
    <w:p>
      <w:r>
        <w:t xml:space="preserve">(d) 12 mg/day</w:t>
      </w:r>
    </w:p>
    <w:p>
      <w:r>
        <w:t xml:space="preserve">Answer: a</w:t>
      </w:r>
    </w:p>
    <w:p>
      <w:r>
        <w:t xml:space="preserve">Solution: Post-menopausal women's iron requirement decreases to 8 mg/day (same as elderly males) due to cessation of menstrual losses. 18 mg/day is for reproductive-age women (eliminates B). 27 mg/day is for pregnant women (eliminates C). 12 mg/day is intermediate and incorrect (eliminates D). Trick: Menopause = iron loss stops = requirement drops by &gt;50%.</w:t>
      </w:r>
    </w:p>
    <w:p>
      <w:r>
        <w:t xml:space="preserve">Positive Marks: 1</w:t>
      </w:r>
    </w:p>
    <w:p>
      <w:r>
        <w:t xml:space="preserve">Negative Marks: 0.33</w:t>
      </w:r>
    </w:p>
    <w:p/>
    <w:p>
      <w:r>
        <w:rPr>
          <w:b/>
        </w:rPr>
        <w:t xml:space="preserve">Question: Vitamin D deficiency in elderly results primarily from:</w:t>
      </w:r>
    </w:p>
    <w:p>
      <w:r>
        <w:t xml:space="preserve">(a) Inadequate dietary intake exclusively</w:t>
      </w:r>
    </w:p>
    <w:p>
      <w:r>
        <w:t xml:space="preserve">(b) Decreased skin synthesis due to reduced sun exposure combined with inadequate dietary intake</w:t>
      </w:r>
    </w:p>
    <w:p>
      <w:r>
        <w:t xml:space="preserve">(c) Increased urinary losses from aging kidneys</w:t>
      </w:r>
    </w:p>
    <w:p>
      <w:r>
        <w:t xml:space="preserve">(d) Impaired intestinal absorption alone</w:t>
      </w:r>
    </w:p>
    <w:p>
      <w:r>
        <w:t xml:space="preserve">Answer: b</w:t>
      </w:r>
    </w:p>
    <w:p>
      <w:r>
        <w:t xml:space="preserve">Solution: Elderly have dual problem: reduced 7-dehydrocholesterol in skin (less UV conversion) and decreased sun exposure (indoor living). Neither dietary intake alone (A) nor urinary loss alone (C) nor absorption alone (D) explain the multifactorial deficiency. Mechanism: Aging skin produces ~25% of vitamin D compared to younger individuals.</w:t>
      </w:r>
    </w:p>
    <w:p>
      <w:r>
        <w:t xml:space="preserve">Positive Marks: 1</w:t>
      </w:r>
    </w:p>
    <w:p>
      <w:r>
        <w:t xml:space="preserve">Negative Marks: 0.33</w:t>
      </w:r>
    </w:p>
    <w:p/>
    <w:p>
      <w:r>
        <w:rPr>
          <w:b/>
        </w:rPr>
        <w:t xml:space="preserve">Question: An elderly patient started on warfarin anticoagulation should maintain consistent intake of which nutrient?</w:t>
      </w:r>
    </w:p>
    <w:p>
      <w:r>
        <w:t xml:space="preserve">(a) Vitamin C</w:t>
      </w:r>
    </w:p>
    <w:p>
      <w:r>
        <w:t xml:space="preserve">(b) Iron supplements</w:t>
      </w:r>
    </w:p>
    <w:p>
      <w:r>
        <w:t xml:space="preserve">(c) Vitamin K</w:t>
      </w:r>
    </w:p>
    <w:p>
      <w:r>
        <w:t xml:space="preserve">(d) Calcium supplements</w:t>
      </w:r>
    </w:p>
    <w:p>
      <w:r>
        <w:t xml:space="preserve">Answer: c</w:t>
      </w:r>
    </w:p>
    <w:p>
      <w:r>
        <w:t xml:space="preserve">Solution: Warfarin antagonizes vitamin K-dependent clotting factors; fluctuating vitamin K intake causes inconsistent INR levels and bleeding risk. Vitamin C doesn't interact significantly (eliminates A). Iron doesn't affect warfarin (eliminates B). Calcium doesn't interact with warfarin mechanism (eliminates D). Critical teaching: consistent dietary vitamin K, not avoidance, is key.</w:t>
      </w:r>
    </w:p>
    <w:p>
      <w:r>
        <w:t xml:space="preserve">Positive Marks: 1</w:t>
      </w:r>
    </w:p>
    <w:p>
      <w:r>
        <w:t xml:space="preserve">Negative Marks: 0.33</w:t>
      </w:r>
    </w:p>
    <w:p/>
    <w:p>
      <w:r>
        <w:rPr>
          <w:b/>
        </w:rPr>
        <w:t xml:space="preserve">Question: Dysphagia in elderly patients should be managed nutritionally by providing:</w:t>
      </w:r>
    </w:p>
    <w:p>
      <w:r>
        <w:t xml:space="preserve">(a) High-fiber foods to improve swallowing reflex</w:t>
      </w:r>
    </w:p>
    <w:p>
      <w:r>
        <w:t xml:space="preserve">(b) Soft, moist foods with appropriately thickened liquids</w:t>
      </w:r>
    </w:p>
    <w:p>
      <w:r>
        <w:t xml:space="preserve">(c) High-temperature foods to stimulate swallowing</w:t>
      </w:r>
    </w:p>
    <w:p>
      <w:r>
        <w:t xml:space="preserve">(d) Unmodified regular diet with frequent small meals</w:t>
      </w:r>
    </w:p>
    <w:p>
      <w:r>
        <w:t xml:space="preserve">Answer: b</w:t>
      </w:r>
    </w:p>
    <w:p>
      <w:r>
        <w:t xml:space="preserve">Solution: Modified texture foods (soft/moist) and thickened liquids (nectar-thick or honey-thick) prevent aspiration and allow safe swallowing. High fiber can obstruct airway (eliminates A). Hot foods increase aspiration risk (eliminates C). Unmodified diet causes choking/aspiration (eliminates D). Standard dysphagia management in geriatrics across all guidelines.</w:t>
      </w:r>
    </w:p>
    <w:p>
      <w:r>
        <w:t xml:space="preserve">Positive Marks: 1</w:t>
      </w:r>
    </w:p>
    <w:p>
      <w:r>
        <w:t xml:space="preserve">Negative Marks: 0.33</w:t>
      </w:r>
    </w:p>
    <w:p/>
    <w:p>
      <w:r>
        <w:rPr>
          <w:b/>
        </w:rPr>
        <w:t xml:space="preserve">Question: The daily fluid requirement for an ambulatory elderly person is approximately:</w:t>
      </w:r>
    </w:p>
    <w:p>
      <w:r>
        <w:t xml:space="preserve">(a) 0.5-1 L</w:t>
      </w:r>
    </w:p>
    <w:p>
      <w:r>
        <w:t xml:space="preserve">(b) 1-1.5 L</w:t>
      </w:r>
    </w:p>
    <w:p>
      <w:r>
        <w:t xml:space="preserve">(c) 1.5-2 L</w:t>
      </w:r>
    </w:p>
    <w:p>
      <w:r>
        <w:t xml:space="preserve">(d) 2.5-3 L</w:t>
      </w:r>
    </w:p>
    <w:p>
      <w:r>
        <w:t xml:space="preserve">Answer: c</w:t>
      </w:r>
    </w:p>
    <w:p>
      <w:r>
        <w:t xml:space="preserve">Solution: Elderly require about 30 mL/kg body weight or 1.5-2 L/day, lower than younger adults due to decreased metabolic rate. 0.5-1 L is insufficient (eliminates A). 1-1.5 L is marginal for most elderly (eliminates B). 2.5-3 L is for younger active individuals (eliminates D). Consideration: reduced thirst sensation increases dehydration risk despite lower absolute needs.</w:t>
      </w:r>
    </w:p>
    <w:p>
      <w:r>
        <w:t xml:space="preserve">Positive Marks: 1</w:t>
      </w:r>
    </w:p>
    <w:p>
      <w:r>
        <w:t xml:space="preserve">Negative Marks: 0.33</w:t>
      </w:r>
    </w:p>
    <w:p/>
    <w:p>
      <w:r>
        <w:rPr>
          <w:b/>
        </w:rPr>
        <w:t xml:space="preserve">Question: Constipation in elderly is most effectively prevented through:</w:t>
      </w:r>
    </w:p>
    <w:p>
      <w:r>
        <w:t xml:space="preserve">(a) Laxatives and stool softeners as first-line treatment</w:t>
      </w:r>
    </w:p>
    <w:p>
      <w:r>
        <w:t xml:space="preserve">(b) Increased dietary fiber, adequate fluid intake, and physical activity</w:t>
      </w:r>
    </w:p>
    <w:p>
      <w:r>
        <w:t xml:space="preserve">(c) Strict bed rest and reduced mobility</w:t>
      </w:r>
    </w:p>
    <w:p>
      <w:r>
        <w:t xml:space="preserve">(d) Low-residue diet to minimize stool bulk</w:t>
      </w:r>
    </w:p>
    <w:p>
      <w:r>
        <w:t xml:space="preserve">Answer: b</w:t>
      </w:r>
    </w:p>
    <w:p>
      <w:r>
        <w:t xml:space="preserve">Solution: Non-pharmacological measures (fiber, fluids, activity) are first-line to promote normal bowel function; laxatives are for resistant cases (eliminates A). Bed rest worsens constipation (eliminates C). Low-residue reduces stimulus for bowel movement (eliminates D). Practical approach: fiber from whole grains, vegetables, fruits + 1.5-2 L fluids + walking daily.</w:t>
      </w:r>
    </w:p>
    <w:p>
      <w:r>
        <w:t xml:space="preserve">Positive Marks: 1</w:t>
      </w:r>
    </w:p>
    <w:p>
      <w:r>
        <w:t xml:space="preserve">Negative Marks: 0.33</w:t>
      </w:r>
    </w:p>
    <w:p/>
    <w:p>
      <w:r>
        <w:rPr>
          <w:b/>
        </w:rPr>
        <w:t xml:space="preserve">Question: Poor oral health and tooth loss in elderly directly impacts nutritional status by:</w:t>
      </w:r>
    </w:p>
    <w:p>
      <w:r>
        <w:t xml:space="preserve">(a) Increasing appetite through taste stimulation</w:t>
      </w:r>
    </w:p>
    <w:p>
      <w:r>
        <w:t xml:space="preserve">(b) Reducing chewing ability, limiting food intake, and causing dietary restriction</w:t>
      </w:r>
    </w:p>
    <w:p>
      <w:r>
        <w:t xml:space="preserve">(c) Improving nutrient bioavailability</w:t>
      </w:r>
    </w:p>
    <w:p>
      <w:r>
        <w:t xml:space="preserve">(d) Increasing salivary enzyme production</w:t>
      </w:r>
    </w:p>
    <w:p>
      <w:r>
        <w:t xml:space="preserve">Answer: b</w:t>
      </w:r>
    </w:p>
    <w:p>
      <w:r>
        <w:t xml:space="preserve">Solution: Tooth loss and poor dentition reduce mastication, forcing elderly to choose soft, often less nutritious foods, and eat smaller amounts. Loss of appetite, not stimulation (eliminates A). Bioavailability decreases with reduced chewing (eliminates C). Saliva actually decreases with aging (eliminates D). Cascade: poor oral health → soft/liquid diet → micronutrient deficiency.</w:t>
      </w:r>
    </w:p>
    <w:p>
      <w:r>
        <w:t xml:space="preserve">Positive Marks: 1</w:t>
      </w:r>
    </w:p>
    <w:p>
      <w:r>
        <w:t xml:space="preserve">Negative Marks: 0.33</w:t>
      </w:r>
    </w:p>
    <w:p/>
    <w:p>
      <w:r>
        <w:rPr>
          <w:b/>
        </w:rPr>
        <w:t xml:space="preserve">Question: Which nutritional assessment tool is most appropriate for identifying malnutrition risk in community-dwelling elderly?</w:t>
      </w:r>
    </w:p>
    <w:p>
      <w:r>
        <w:t xml:space="preserve">(a) Harris-Benedict equation for basal metabolic rate</w:t>
      </w:r>
    </w:p>
    <w:p>
      <w:r>
        <w:t xml:space="preserve">(b) Mini Nutritional Assessment (MNA)</w:t>
      </w:r>
    </w:p>
    <w:p>
      <w:r>
        <w:t xml:space="preserve">(c) DEXA scan for bone density</w:t>
      </w:r>
    </w:p>
    <w:p>
      <w:r>
        <w:t xml:space="preserve">(d) Computed tomography scan for abdominal fat</w:t>
      </w:r>
    </w:p>
    <w:p>
      <w:r>
        <w:t xml:space="preserve">Answer: b</w:t>
      </w:r>
    </w:p>
    <w:p>
      <w:r>
        <w:t xml:space="preserve">Solution: MNA is specifically validated for elderly population, assessing anthropometry, lifestyle, and dietary factors to detect malnutrition and at-risk status. Harris-Benedict estimates calories, not nutritional risk (eliminates A). DEXA assesses bone, not nutrition (eliminates C). CT is for imaging, not functional assessment (eliminates D). Gold standard: MNA takes 10-15 minutes, non-invasive, highly sensitive.</w:t>
      </w:r>
    </w:p>
    <w:p>
      <w:r>
        <w:t xml:space="preserve">Positive Marks: 1</w:t>
      </w:r>
    </w:p>
    <w:p>
      <w:r>
        <w:t xml:space="preserve">Negative Marks: 0.33</w:t>
      </w:r>
    </w:p>
    <w:p/>
    <w:p>
      <w:r>
        <w:rPr>
          <w:b/>
        </w:rPr>
        <w:t xml:space="preserve">Question: The loss of appetite (anorexia of aging) in healthy elderly is physiologically attributed to:</w:t>
      </w:r>
    </w:p>
    <w:p>
      <w:r>
        <w:t xml:space="preserve">(a) Increased ghrelin hormone stimulating hunger signals</w:t>
      </w:r>
    </w:p>
    <w:p>
      <w:r>
        <w:t xml:space="preserve">(b) Accelerated gastric emptying of food</w:t>
      </w:r>
    </w:p>
    <w:p>
      <w:r>
        <w:t xml:space="preserve">(c) Decreased sensitivity to cholecystokinin (CCK) and altered central appetite regulation</w:t>
      </w:r>
    </w:p>
    <w:p>
      <w:r>
        <w:t xml:space="preserve">(d) Enhanced taste bud perception and hypersensitivity</w:t>
      </w:r>
    </w:p>
    <w:p>
      <w:r>
        <w:t xml:space="preserve">Answer: c</w:t>
      </w:r>
    </w:p>
    <w:p>
      <w:r>
        <w:t xml:space="preserve">Solution: Reduced CCK sensitivity (decreased satiety signal dampening) and altered hypothalamic appetite centers reduce hunger drive in elderly. Ghrelin is anorectic here, not orexigenic (eliminates A). Gastric emptying actually slows with age (eliminates B). Taste perception decreases, not enhances (eliminates D). Mechanism: Complex neuroendocrine changes, not simple hormone deficit.</w:t>
      </w:r>
    </w:p>
    <w:p>
      <w:r>
        <w:t xml:space="preserve">Positive Marks: 1</w:t>
      </w:r>
    </w:p>
    <w:p>
      <w:r>
        <w:t xml:space="preserve">Negative Marks: 0.33</w:t>
      </w:r>
    </w:p>
    <w:p/>
    <w:p>
      <w:r>
        <w:rPr>
          <w:b/>
        </w:rPr>
        <w:t xml:space="preserve">Question: A 75-year-old female presents with microcytic hypochromic anemia, glossitis, and peripheral paresthesia. Which combination of nutritional deficiencies is most likely?</w:t>
      </w:r>
    </w:p>
    <w:p>
      <w:r>
        <w:t xml:space="preserve">(a) Iron and vitamin B12 deficiency</w:t>
      </w:r>
    </w:p>
    <w:p>
      <w:r>
        <w:t xml:space="preserve">(b) Copper and selenium deficiency</w:t>
      </w:r>
    </w:p>
    <w:p>
      <w:r>
        <w:t xml:space="preserve">(c) Zinc and folate deficiency only</w:t>
      </w:r>
    </w:p>
    <w:p>
      <w:r>
        <w:t xml:space="preserve">(d) Calcium and vitamin D deficiency</w:t>
      </w:r>
    </w:p>
    <w:p>
      <w:r>
        <w:t xml:space="preserve">Answer: a</w:t>
      </w:r>
    </w:p>
    <w:p>
      <w:r>
        <w:t xml:space="preserve">Solution: Microcytic anemia indicates iron deficiency; paresthesia and glossitis indicate B12 deficiency. Both occur in elderly from reduced intake and absorption. Copper/selenium don't cause microcytic anemia (eliminates B). Folate alone causes macrocytic, not microcytic, anemia (eliminates C). Calcium/vitamin D don't cause anemia (eliminates D). Clinical pearl: elderly often have multiple deficiencies simultaneously.</w:t>
      </w:r>
    </w:p>
    <w:p>
      <w:r>
        <w:t xml:space="preserve">Positive Marks: 1</w:t>
      </w:r>
    </w:p>
    <w:p>
      <w:r>
        <w:t xml:space="preserve">Negative Marks: 0.33</w:t>
      </w:r>
    </w:p>
    <w:p/>
    <w:p>
      <w:r>
        <w:rPr>
          <w:b/>
        </w:rPr>
        <w:t xml:space="preserve">Question: Vitamin B12 malabsorption in elderly is most commonly caused by:</w:t>
      </w:r>
    </w:p>
    <w:p>
      <w:r>
        <w:t xml:space="preserve">(a) Pancreatic insufficiency exclusively</w:t>
      </w:r>
    </w:p>
    <w:p>
      <w:r>
        <w:t xml:space="preserve">(b) Atrophic gastritis causing intrinsic factor deficiency</w:t>
      </w:r>
    </w:p>
    <w:p>
      <w:r>
        <w:t xml:space="preserve">(c) Biliary obstruction and cholestasis</w:t>
      </w:r>
    </w:p>
    <w:p>
      <w:r>
        <w:t xml:space="preserve">(d) Chronic alcohol abuse only</w:t>
      </w:r>
    </w:p>
    <w:p>
      <w:r>
        <w:t xml:space="preserve">Answer: b</w:t>
      </w:r>
    </w:p>
    <w:p>
      <w:r>
        <w:t xml:space="preserve">Solution: Atrophic gastritis from chronic inflammation reduces parietal cells, decreasing intrinsic factor needed for B12 absorption. Pancreatic insufficiency is secondary cause (eliminates A). Biliary obstruction doesn't directly impair B12 absorption (eliminates C). Alcohol is less common cause than gastritis in elderly (eliminates D). Mechanism: IF deficiency → B12 remains protein-bound → no ileal absorption.</w:t>
      </w:r>
    </w:p>
    <w:p>
      <w:r>
        <w:t xml:space="preserve">Positive Marks: 1</w:t>
      </w:r>
    </w:p>
    <w:p>
      <w:r>
        <w:t xml:space="preserve">Negative Marks: 0.33</w:t>
      </w:r>
    </w:p>
    <w:p/>
    <w:p>
      <w:r>
        <w:rPr>
          <w:b/>
        </w:rPr>
        <w:t xml:space="preserve">Question: An 82-year-old patient with dementia and declining food intake requires dietary management focused on:</w:t>
      </w:r>
    </w:p>
    <w:p>
      <w:r>
        <w:t xml:space="preserve">(a) Immediate placement of nasogastric tube</w:t>
      </w:r>
    </w:p>
    <w:p>
      <w:r>
        <w:t xml:space="preserve">(b) High-calorie, high-protein density foods to preserve body weight and function</w:t>
      </w:r>
    </w:p>
    <w:p>
      <w:r>
        <w:t xml:space="preserve">(c) Fluid restriction to concentrate nutrients</w:t>
      </w:r>
    </w:p>
    <w:p>
      <w:r>
        <w:t xml:space="preserve">(d) Vitamin B12 injections as sole intervention</w:t>
      </w:r>
    </w:p>
    <w:p>
      <w:r>
        <w:t xml:space="preserve">Answer: b</w:t>
      </w:r>
    </w:p>
    <w:p>
      <w:r>
        <w:t xml:space="preserve">Solution: Early nutrition strategy includes energy-dense, protein-rich foods (milkshakes, fortified puddings) to maintain weight before considering tube feeding. Tube feeding is late intervention, not immediate (eliminates A). Fluid restriction causes dehydration (eliminates C). B12 injections don't address caloric intake (eliminates D). Approach: behavioral feeding strategies → modified textures → assisted feeding → consider enteral nutrition.</w:t>
      </w:r>
    </w:p>
    <w:p>
      <w:r>
        <w:t xml:space="preserve">Positive Marks: 1</w:t>
      </w:r>
    </w:p>
    <w:p>
      <w:r>
        <w:t xml:space="preserve">Negative Marks: 0.33</w:t>
      </w:r>
    </w:p>
    <w:p/>
    <w:p>
      <w:r>
        <w:rPr>
          <w:b/>
        </w:rPr>
        <w:t xml:space="preserve">Question: An elderly patient presents with steatorrhea, progressive weight loss, and deficiencies of vitamins A, D, E, and K. Which organ dysfunction is most likely responsible?</w:t>
      </w:r>
    </w:p>
    <w:p>
      <w:r>
        <w:t xml:space="preserve">(a) Gastric atrophy with reduced acid production</w:t>
      </w:r>
    </w:p>
    <w:p>
      <w:r>
        <w:t xml:space="preserve">(b) Pancreatic insufficiency affecting fat digestion and absorption</w:t>
      </w:r>
    </w:p>
    <w:p>
      <w:r>
        <w:t xml:space="preserve">(c) Cardiac dysfunction reducing splanchnic blood flow</w:t>
      </w:r>
    </w:p>
    <w:p>
      <w:r>
        <w:t xml:space="preserve">(d) Thyroid dysfunction causing malabsorption</w:t>
      </w:r>
    </w:p>
    <w:p>
      <w:r>
        <w:t xml:space="preserve">Answer: b</w:t>
      </w:r>
    </w:p>
    <w:p>
      <w:r>
        <w:t xml:space="preserve">Solution: Steatorrhea (fatty stools) with fat-soluble vitamin deficiencies (A, D, E, K) indicates impaired fat digestion/absorption—pancreatic lipase deficiency. Gastric atrophy affects B12 and iron, not fat absorption (eliminates A). Cardiac dysfunction causes edema, not steatorrhea (eliminates C). Thyroid affects metabolism, not lipid absorption (eliminates D). Pathophysiology: pancreatic enzymes decline 30-40% with age, accelerating in chronic diseases.</w:t>
      </w:r>
    </w:p>
    <w:p>
      <w:r>
        <w:t xml:space="preserve">Positive Marks: 1</w:t>
      </w:r>
    </w:p>
    <w:p>
      <w:r>
        <w:t xml:space="preserve">Negative Marks: 0.33</w:t>
      </w:r>
    </w:p>
    <w:p/>
    <w:p>
      <w:r>
        <w:rPr>
          <w:b/>
        </w:rPr>
        <w:t xml:space="preserve">Question: A community health nurse identifies an elderly male with BMI 18.5 (borderline low), reduced appetite, taking 12 medications, and living alone. The priority nutritional intervention should be:</w:t>
      </w:r>
    </w:p>
    <w:p>
      <w:r>
        <w:t xml:space="preserve">(a) Immediate hospitalization with nasogastric tube insertion</w:t>
      </w:r>
    </w:p>
    <w:p>
      <w:r>
        <w:t xml:space="preserve">(b) Assessment for drug-nutrient interactions and provision of energy-dense, easy-to-prepare meals</w:t>
      </w:r>
    </w:p>
    <w:p>
      <w:r>
        <w:t xml:space="preserve">(c) Strict 48-hour fasting to reset appetite</w:t>
      </w:r>
    </w:p>
    <w:p>
      <w:r>
        <w:t xml:space="preserve">(d) Prescription of appetite-stimulating medications</w:t>
      </w:r>
    </w:p>
    <w:p>
      <w:r>
        <w:t xml:space="preserve">Answer: b</w:t>
      </w:r>
    </w:p>
    <w:p>
      <w:r>
        <w:t xml:space="preserve">Solution: Multiple medications in elderly commonly cause drug-nutrient interactions, reduced appetite, and constipation; assessment and practical interventions (modified grocery list, meal delivery, recipe adaptation) address root causes. Hospitalization premature with BMI 18.5 and no acute illness (eliminates A). Fasting worsens malnutrition (eliminates C). Appetite drugs lack evidence in isolated cases (eliminates D). Holistic approach: medication review + practical feeding support + monitoring.</w:t>
      </w:r>
    </w:p>
    <w:p>
      <w:r>
        <w:t xml:space="preserve">Positive Marks: 1</w:t>
      </w:r>
    </w:p>
    <w:p>
      <w:r>
        <w:t xml:space="preserve">Negative Marks: 0.33</w:t>
      </w:r>
    </w:p>
    <w:sectPr>
      <w:pgSz w:w="11906" w:h="16838"/>
      <w:pgMar w:top="1134" w:right="1134" w:bottom="1134" w:left="1134"/>
    </w:sectPr>
  </w:body>
</w:document>
</file>