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HIV (Human Immunodeficiency Virus) is a retrovirus containing which genetic material as its genome?</w:t>
      </w:r>
    </w:p>
    <w:p>
      <w:r>
        <w:t xml:space="preserve">(a) Double-stranded DNA</w:t>
      </w:r>
    </w:p>
    <w:p>
      <w:r>
        <w:t xml:space="preserve">(b) Single-stranded RNA</w:t>
      </w:r>
    </w:p>
    <w:p>
      <w:r>
        <w:t xml:space="preserve">(c) Double-stranded RNA</w:t>
      </w:r>
    </w:p>
    <w:p>
      <w:r>
        <w:t xml:space="preserve">(d) Single-stranded DNA</w:t>
      </w:r>
    </w:p>
    <w:p>
      <w:r>
        <w:t xml:space="preserve">Answer: b</w:t>
      </w:r>
    </w:p>
    <w:p>
      <w:r>
        <w:t xml:space="preserve">Solution: HIV is a retrovirus with a diploid genome of two copies of positive-sense, single-stranded RNA (ssRNA). This RNA serves as both the genome and mRNA for viral protein synthesis. Unlike DNA viruses, HIV's ssRNA is 9.7 kb in length and encodes three main gene groups: gag, pol, and env. Retroviruses are defined by their RNA genome and reverse transcriptase enzyme. The other options represent genomic materials found in different virus families but not in HIV. Mnemonic: 'Retro = RNA retrovirus carries RNA.'</w:t>
      </w:r>
    </w:p>
    <w:p>
      <w:r>
        <w:t xml:space="preserve">Positive Marks: 1</w:t>
      </w:r>
    </w:p>
    <w:p>
      <w:r>
        <w:t xml:space="preserve">Negative Marks: 0.33</w:t>
      </w:r>
    </w:p>
    <w:p/>
    <w:p>
      <w:r>
        <w:rPr>
          <w:b/>
        </w:rPr>
        <w:t xml:space="preserve">Question: According to CDC and INC classification, AIDS is clinically diagnosed when the CD4+ T cell count falls below which value in an HIV-positive person?</w:t>
      </w:r>
    </w:p>
    <w:p>
      <w:r>
        <w:t xml:space="preserve">(a) Less than 300 cells/mm³</w:t>
      </w:r>
    </w:p>
    <w:p>
      <w:r>
        <w:t xml:space="preserve">(b) Less than 200 cells/mm³</w:t>
      </w:r>
    </w:p>
    <w:p>
      <w:r>
        <w:t xml:space="preserve">(c) Less than 100 cells/mm³</w:t>
      </w:r>
    </w:p>
    <w:p>
      <w:r>
        <w:t xml:space="preserve">(d) Less than 50 cells/mm³</w:t>
      </w:r>
    </w:p>
    <w:p>
      <w:r>
        <w:t xml:space="preserve">Answer: b</w:t>
      </w:r>
    </w:p>
    <w:p>
      <w:r>
        <w:t xml:space="preserve">Solution: AIDS is formally defined as CD4+ T cell count &lt;200 cells/mm³ or CD4+ percentage &lt;14% in an HIV-positive individual. This threshold marks severe immunosuppression with significantly elevated risk of opportunistic infections like PCP. CD4 &lt;100 defines severe immunosuppression (CMV, MAC risk), while &lt;50 indicates critical risk requiring intensive prophylaxis. CD4 &lt;300 was historically used for ART initiation but does not define AIDS. The 200 cells/mm³ cutoff is internationally standardized across WHO, INC, and major HIV treatment guidelines and represents a critical clinical milestone in disease progression.</w:t>
      </w:r>
    </w:p>
    <w:p>
      <w:r>
        <w:t xml:space="preserve">Positive Marks: 1</w:t>
      </w:r>
    </w:p>
    <w:p>
      <w:r>
        <w:t xml:space="preserve">Negative Marks: 0.33</w:t>
      </w:r>
    </w:p>
    <w:p/>
    <w:p>
      <w:r>
        <w:rPr>
          <w:b/>
        </w:rPr>
        <w:t xml:space="preserve">Question: Which class of antiretroviral drugs functions by inhibiting reverse transcriptase through chain termination after incorporation into growing DNA strand?</w:t>
      </w:r>
    </w:p>
    <w:p>
      <w:r>
        <w:t xml:space="preserve">(a) Protease inhibitors</w:t>
      </w:r>
    </w:p>
    <w:p>
      <w:r>
        <w:t xml:space="preserve">(b) Nucleoside reverse transcriptase inhibitors (NRTIs)</w:t>
      </w:r>
    </w:p>
    <w:p>
      <w:r>
        <w:t xml:space="preserve">(c) Non-nucleoside reverse transcriptase inhibitors (NNRTIs)</w:t>
      </w:r>
    </w:p>
    <w:p>
      <w:r>
        <w:t xml:space="preserve">(d) Integrase strand transfer inhibitors (INSTIs)</w:t>
      </w:r>
    </w:p>
    <w:p>
      <w:r>
        <w:t xml:space="preserve">Answer: b</w:t>
      </w:r>
    </w:p>
    <w:p>
      <w:r>
        <w:t xml:space="preserve">Solution: NRTIs are nucleoside analogs that competitively inhibit reverse transcriptase and cause premature DNA chain termination, preventing completion of viral DNA synthesis. Common examples include zidovudine (AZT), lamivudine (3TC), tenofovir (TDF), and abacavir (ABC). NNRTIs inhibit reverse transcriptase through non-competitive allosteric binding. Protease inhibitors block viral protein processing post-transcription. INSTIs prevent viral DNA integration into the host chromosome. NRTIs form the backbone of most ART regimens globally and are essential components of first-line therapy per current INC guidelines.</w:t>
      </w:r>
    </w:p>
    <w:p>
      <w:r>
        <w:t xml:space="preserve">Positive Marks: 1</w:t>
      </w:r>
    </w:p>
    <w:p>
      <w:r>
        <w:t xml:space="preserve">Negative Marks: 0.33</w:t>
      </w:r>
    </w:p>
    <w:p/>
    <w:p>
      <w:r>
        <w:rPr>
          <w:b/>
        </w:rPr>
        <w:t xml:space="preserve">Question: HIV primarily targets and destroys which immune cell population, whose depletion characterizes HIV disease progression?</w:t>
      </w:r>
    </w:p>
    <w:p>
      <w:r>
        <w:t xml:space="preserve">(a) CD8+ T lymphocytes (cytotoxic T cells)</w:t>
      </w:r>
    </w:p>
    <w:p>
      <w:r>
        <w:t xml:space="preserve">(b) CD4+ T lymphocytes (helper T cells)</w:t>
      </w:r>
    </w:p>
    <w:p>
      <w:r>
        <w:t xml:space="preserve">(c) B lymphocytes and plasma cells</w:t>
      </w:r>
    </w:p>
    <w:p>
      <w:r>
        <w:t xml:space="preserve">(d) Neutrophils and basophils</w:t>
      </w:r>
    </w:p>
    <w:p>
      <w:r>
        <w:t xml:space="preserve">Answer: b</w:t>
      </w:r>
    </w:p>
    <w:p>
      <w:r>
        <w:t xml:space="preserve">Solution: HIV selectively infects and destroys CD4+ T lymphocytes (helper T cells/Th cells) via binding to CD4 receptor and CCR5/CXCR4 co-receptors. Progressive CD4+ cell loss from normal levels (800-1200 cells/mm³) leads to immune dysfunction and AIDS. Although macrophages and dendritic cells can be infected, they are not the primary target or reservoir during active replication. CD8+ cells initially increase attempting immune control but are not significantly depleted. B cell dysfunction occurs secondarily to CD4+ depletion, affecting antibody production and immune response. The CD4+ lymphocyte count directly correlates with disease progression and guides clinical management, OI prophylaxis, and ART decisions.</w:t>
      </w:r>
    </w:p>
    <w:p>
      <w:r>
        <w:t xml:space="preserve">Positive Marks: 1</w:t>
      </w:r>
    </w:p>
    <w:p>
      <w:r>
        <w:t xml:space="preserve">Negative Marks: 0.33</w:t>
      </w:r>
    </w:p>
    <w:p/>
    <w:p>
      <w:r>
        <w:rPr>
          <w:b/>
        </w:rPr>
        <w:t xml:space="preserve">Question: The 'window period' in HIV infection describes the time interval when an infected person is potentially transmissible but standard antibody screening tests remain negative. What is the serological status during this period?</w:t>
      </w:r>
    </w:p>
    <w:p>
      <w:r>
        <w:t xml:space="preserve">(a) Both antibodies and antigen (p24) are negative</w:t>
      </w:r>
    </w:p>
    <w:p>
      <w:r>
        <w:t xml:space="preserve">(b) Antibodies are negative but p24 antigen is positive</w:t>
      </w:r>
    </w:p>
    <w:p>
      <w:r>
        <w:t xml:space="preserve">(c) Both antibodies and p24 antigen are positive</w:t>
      </w:r>
    </w:p>
    <w:p>
      <w:r>
        <w:t xml:space="preserve">(d) Antibodies are positive but p24 antigen is negative</w:t>
      </w:r>
    </w:p>
    <w:p>
      <w:r>
        <w:t xml:space="preserve">Answer: b</w:t>
      </w:r>
    </w:p>
    <w:p>
      <w:r>
        <w:t xml:space="preserve">Solution: The window period (typically 2-4 weeks) occurs between HIV acquisition and seroconversion when standard antibody-only tests show false-negative results despite active viral replication and detectable p24 antigen. Fourth-generation Ag/Ab combination tests detect p24 antigen during this critical period, significantly shortening the window to 10-14 days. Understanding this lag is essential for counseling recently exposed individuals, blood donor screening protocols, and post-exposure prophylaxis (PEP) decisions. This window represents a period of highest infectivity due to exceptionally high viral loads. Modern testing algorithms including antigen testing help bridge this diagnostic gap.</w:t>
      </w:r>
    </w:p>
    <w:p>
      <w:r>
        <w:t xml:space="preserve">Positive Marks: 1</w:t>
      </w:r>
    </w:p>
    <w:p>
      <w:r>
        <w:t xml:space="preserve">Negative Marks: 0.33</w:t>
      </w:r>
    </w:p>
    <w:p/>
    <w:p>
      <w:r>
        <w:rPr>
          <w:b/>
        </w:rPr>
        <w:t xml:space="preserve">Question: Which HIV envelope protein is directly responsible for initial attachment to the CD4 receptor on target lymphocytes?</w:t>
      </w:r>
    </w:p>
    <w:p>
      <w:r>
        <w:t xml:space="preserve">(a) gp41 (transmembrane glycoprotein)</w:t>
      </w:r>
    </w:p>
    <w:p>
      <w:r>
        <w:t xml:space="preserve">(b) gp120 (surface glycoprotein)</w:t>
      </w:r>
    </w:p>
    <w:p>
      <w:r>
        <w:t xml:space="preserve">(c) p24 (capsid protein)</w:t>
      </w:r>
    </w:p>
    <w:p>
      <w:r>
        <w:t xml:space="preserve">(d) Reverse transcriptase enzyme</w:t>
      </w:r>
    </w:p>
    <w:p>
      <w:r>
        <w:t xml:space="preserve">Answer: b</w:t>
      </w:r>
    </w:p>
    <w:p>
      <w:r>
        <w:t xml:space="preserve">Solution: gp120 is the outer surface glycoprotein that binds to the CD4 receptor with high affinity through its V4 and V5 variable loops, initiating attachment. Following CD4 binding, conformational changes occur exposing gp41 (transmembrane protein) which mediates membrane fusion. p24 is an internal structural/capsid protein not involved in attachment. Reverse transcriptase is an enzymatic protein without attachment function. The gp120-CD4 interaction is the critical initial step in HIV entry and a major target for vaccine development and entry inhibitors. This two-step binding process (attachment via gp120, then fusion via gp41) is fundamental to understanding HIV entry and exploited therapeutically.</w:t>
      </w:r>
    </w:p>
    <w:p>
      <w:r>
        <w:t xml:space="preserve">Positive Marks: 1</w:t>
      </w:r>
    </w:p>
    <w:p>
      <w:r>
        <w:t xml:space="preserve">Negative Marks: 0.33</w:t>
      </w:r>
    </w:p>
    <w:p/>
    <w:p>
      <w:r>
        <w:rPr>
          <w:b/>
        </w:rPr>
        <w:t xml:space="preserve">Question: At which CD4+ count threshold does the risk of Cytomegalovirus (CMV) retinitis dramatically increase in an untreated HIV patient?</w:t>
      </w:r>
    </w:p>
    <w:p>
      <w:r>
        <w:t xml:space="preserve">(a) CD4 count &lt;200 cells/mm³</w:t>
      </w:r>
    </w:p>
    <w:p>
      <w:r>
        <w:t xml:space="preserve">(b) CD4 count &lt;150 cells/mm³</w:t>
      </w:r>
    </w:p>
    <w:p>
      <w:r>
        <w:t xml:space="preserve">(c) CD4 count &lt;50 cells/mm³</w:t>
      </w:r>
    </w:p>
    <w:p>
      <w:r>
        <w:t xml:space="preserve">(d) CD4 count &lt;25 cells/mm³</w:t>
      </w:r>
    </w:p>
    <w:p>
      <w:r>
        <w:t xml:space="preserve">Answer: c</w:t>
      </w:r>
    </w:p>
    <w:p>
      <w:r>
        <w:t xml:space="preserve">Solution: CMV retinitis is an AIDS-defining illness that typically occurs at CD4 counts &lt;50 cells/mm³, representing severe immunosuppression. CMV prophylaxis is NOT routinely given but close ophthalmologic monitoring is recommended at this threshold. In contrast, tuberculosis can occur at higher CD4 counts (&gt;100), PCP occurs at CD4 &lt;200, and Candida oesophagitis at CD4 &lt;100. This hierarchical pattern of opportunistic infections based on CD4 count is clinically important for predicting infection risk, initiating appropriate prophylaxis, and monitoring treated patients. CMV retinitis can cause blindness and requires urgent evaluation and treatment (ganciclovir or foscarnet) once diagnosed.</w:t>
      </w:r>
    </w:p>
    <w:p>
      <w:r>
        <w:t xml:space="preserve">Positive Marks: 1</w:t>
      </w:r>
    </w:p>
    <w:p>
      <w:r>
        <w:t xml:space="preserve">Negative Marks: 0.33</w:t>
      </w:r>
    </w:p>
    <w:p/>
    <w:p>
      <w:r>
        <w:rPr>
          <w:b/>
        </w:rPr>
        <w:t xml:space="preserve">Question: What is the approximate relative transmission risk of HIV through receptive anal intercourse compared to receptive vaginal intercourse per single act?</w:t>
      </w:r>
    </w:p>
    <w:p>
      <w:r>
        <w:t xml:space="preserve">(a) Approximately 2-3 times higher</w:t>
      </w:r>
    </w:p>
    <w:p>
      <w:r>
        <w:t xml:space="preserve">(b) Approximately 5-10 times higher</w:t>
      </w:r>
    </w:p>
    <w:p>
      <w:r>
        <w:t xml:space="preserve">(c) Approximately 10-20 times higher</w:t>
      </w:r>
    </w:p>
    <w:p>
      <w:r>
        <w:t xml:space="preserve">(d) Approximately equal risk</w:t>
      </w:r>
    </w:p>
    <w:p>
      <w:r>
        <w:t xml:space="preserve">Answer: c</w:t>
      </w:r>
    </w:p>
    <w:p>
      <w:r>
        <w:t xml:space="preserve">Solution: Receptive anal intercourse carries approximately 10-20 times higher HIV transmission risk per act compared to receptive vaginal intercourse. Anal transmission risk is estimated at 138 per 10,000 exposures versus 8 per 10,000 for vaginal exposure. The increased risk reflects fragile rectal mucosa, higher local inflammatory response, lymphoid tissue abundance, and potentially higher viral concentrations. Insertive partners in both scenarios also have higher transmission risk than receptive partners. These epidemiological data are essential for targeted sexual health counseling, risk stratification, and emphasizing the importance of barrier protection and PrEP for high-risk populations. Understanding transmission probabilities guides resource allocation and prevention messaging.</w:t>
      </w:r>
    </w:p>
    <w:p>
      <w:r>
        <w:t xml:space="preserve">Positive Marks: 1</w:t>
      </w:r>
    </w:p>
    <w:p>
      <w:r>
        <w:t xml:space="preserve">Negative Marks: 0.33</w:t>
      </w:r>
    </w:p>
    <w:p/>
    <w:p>
      <w:r>
        <w:rPr>
          <w:b/>
        </w:rPr>
        <w:t xml:space="preserve">Question: According to current WHO and INC treatment guidelines (2024), antiretroviral therapy (ART) should be initiated in all HIV-positive individuals at which CD4 count threshold?</w:t>
      </w:r>
    </w:p>
    <w:p>
      <w:r>
        <w:t xml:space="preserve">(a) When CD4 count falls below 500 cells/mm³</w:t>
      </w:r>
    </w:p>
    <w:p>
      <w:r>
        <w:t xml:space="preserve">(b) When CD4 count falls below 350 cells/mm³</w:t>
      </w:r>
    </w:p>
    <w:p>
      <w:r>
        <w:t xml:space="preserve">(c) When CD4 count falls below 200 cells/mm³</w:t>
      </w:r>
    </w:p>
    <w:p>
      <w:r>
        <w:t xml:space="preserve">(d) Regardless of CD4 count at any stage ('Start ART for all')</w:t>
      </w:r>
    </w:p>
    <w:p>
      <w:r>
        <w:t xml:space="preserve">Answer: d</w:t>
      </w:r>
    </w:p>
    <w:p>
      <w:r>
        <w:t xml:space="preserve">Solution: Current evidence-based guidelines recommend immediate ART initiation ('Start ART for all') regardless of CD4+ count or clinical stage to achieve viral suppression and prevent HIV transmission (U=U principle: undetectable equals untransmittable). This represents a paradigm shift from earlier CD4-based thresholds (previously &lt;350 or &lt;500). Early ART initiation improves virological outcomes, reduces cardiovascular disease, prevents opportunistic infections, and dramatically reduces onward transmission. CD4 count, however, remains important for assessing baseline immunosuppression, determining OI prophylaxis requirements, and managing treatment complications. The principle of 'treat all' has become standard across WHO, INC, and all major international guidelines, fundamentally changing HIV care from reactive to preventive strategy.</w:t>
      </w:r>
    </w:p>
    <w:p>
      <w:r>
        <w:t xml:space="preserve">Positive Marks: 1</w:t>
      </w:r>
    </w:p>
    <w:p>
      <w:r>
        <w:t xml:space="preserve">Negative Marks: 0.33</w:t>
      </w:r>
    </w:p>
    <w:p/>
    <w:p>
      <w:r>
        <w:rPr>
          <w:b/>
        </w:rPr>
        <w:t xml:space="preserve">Question: Post-exposure prophylaxis (PEP) with antiretroviral drugs following potential HIV exposure should be initiated within what time window for maximum effectiveness?</w:t>
      </w:r>
    </w:p>
    <w:p>
      <w:r>
        <w:t xml:space="preserve">(a) Within 12 hours of exposure</w:t>
      </w:r>
    </w:p>
    <w:p>
      <w:r>
        <w:t xml:space="preserve">(b) Within 24 hours of exposure</w:t>
      </w:r>
    </w:p>
    <w:p>
      <w:r>
        <w:t xml:space="preserve">(c) Within 72 hours (3 days) of exposure</w:t>
      </w:r>
    </w:p>
    <w:p>
      <w:r>
        <w:t xml:space="preserve">(d) Within 7 days of exposure</w:t>
      </w:r>
    </w:p>
    <w:p>
      <w:r>
        <w:t xml:space="preserve">Answer: c</w:t>
      </w:r>
    </w:p>
    <w:p>
      <w:r>
        <w:t xml:space="preserve">Solution: PEP should be initiated within 72 hours (3 days) of potential HIV exposure, with efficacy declining significantly beyond this window. Optimal protection occurs within 2 hours, and effectiveness persists acceptably up to 72 hours. PEP typically consists of a 28-day course of combination ART (commonly TDF/FTC plus integrase inhibitor like dolutegravir). Initiation within 24 hours offers superior protection (approximately 81-95% efficacy) compared to later initiation. After 72 hours, PEP is generally not recommended as effectiveness becomes questionable. Occupational exposures (needlestick injuries), sexual assault, and unprotected sexual contact are common PEP indications. The 72-hour window is a critical time-sensitive threshold that must be emphasized in occupational health protocols and emergency medicine.</w:t>
      </w:r>
    </w:p>
    <w:p>
      <w:r>
        <w:t xml:space="preserve">Positive Marks: 1</w:t>
      </w:r>
    </w:p>
    <w:p>
      <w:r>
        <w:t xml:space="preserve">Negative Marks: 0.33</w:t>
      </w:r>
    </w:p>
    <w:p/>
    <w:p>
      <w:r>
        <w:rPr>
          <w:b/>
        </w:rPr>
        <w:t xml:space="preserve">Question: Which combination of interventions is most effective in reducing mother-to-child transmission (MTCT) of HIV to less than 2%?</w:t>
      </w:r>
    </w:p>
    <w:p>
      <w:r>
        <w:t xml:space="preserve">(a) Maternal ART alone during pregnancy achieving CD4 &gt;350 cells/mm³</w:t>
      </w:r>
    </w:p>
    <w:p>
      <w:r>
        <w:t xml:space="preserve">(b) Maternal ART to achieve undetectable viral load plus infant ART prophylaxis plus safe delivery practices</w:t>
      </w:r>
    </w:p>
    <w:p>
      <w:r>
        <w:t xml:space="preserve">(c) Elective cesarean section delivery combined with infant nevirapine prophylaxis</w:t>
      </w:r>
    </w:p>
    <w:p>
      <w:r>
        <w:t xml:space="preserve">(d) Infant ART prophylaxis for 6 weeks immediately after birth</w:t>
      </w:r>
    </w:p>
    <w:p>
      <w:r>
        <w:t xml:space="preserve">Answer: b</w:t>
      </w:r>
    </w:p>
    <w:p>
      <w:r>
        <w:t xml:space="preserve">Solution: Optimal MTCT reduction requires integrated approach: maternal ART to achieve undetectable viral load (&lt;50 copies/mL), infant ART prophylaxis (typically zidovudine or extended regimens based on transmission risk), and appropriate delivery practices (vaginal delivery is safe and preferred if maternal viral load &lt;50). When maternal viral load is undetectable via adherent ART, MTCT risk approaches near-zero (&lt;1%). Single interventions alone are insufficient for optimal outcomes. Modern guidelines achieve MTCT rates &lt;2% in adherent populations and &lt;1% in optimal settings. Cesarean section is no longer routinely recommended when viral load is undetectable. This comprehensive approach reflects the 'undetectable equals untransmittable' (U=U) principle applied to vertical transmission prevention.</w:t>
      </w:r>
    </w:p>
    <w:p>
      <w:r>
        <w:t xml:space="preserve">Positive Marks: 1</w:t>
      </w:r>
    </w:p>
    <w:p>
      <w:r>
        <w:t xml:space="preserve">Negative Marks: 0.33</w:t>
      </w:r>
    </w:p>
    <w:p/>
    <w:p>
      <w:r>
        <w:rPr>
          <w:b/>
        </w:rPr>
        <w:t xml:space="preserve">Question: Which diagnostic test can reliably detect HIV infection during the window period when standard antibody tests remain negative?</w:t>
      </w:r>
    </w:p>
    <w:p>
      <w:r>
        <w:t xml:space="preserve">(a) Rapid antibody test</w:t>
      </w:r>
    </w:p>
    <w:p>
      <w:r>
        <w:t xml:space="preserve">(b) ELISA (IgG antibody only)</w:t>
      </w:r>
    </w:p>
    <w:p>
      <w:r>
        <w:t xml:space="preserve">(c) HIV RNA PCR (viral load test) or p24 antigen test</w:t>
      </w:r>
    </w:p>
    <w:p>
      <w:r>
        <w:t xml:space="preserve">(d) Immunoblot (Western blot) test</w:t>
      </w:r>
    </w:p>
    <w:p>
      <w:r>
        <w:t xml:space="preserve">Answer: c</w:t>
      </w:r>
    </w:p>
    <w:p>
      <w:r>
        <w:t xml:space="preserve">Solution: HIV RNA PCR (viral load testing) and p24 antigen tests can detect HIV during the window period when standard antibody tests remain falsely negative. Standard antibody tests (rapid tests, ELISA, Western blot) rely on immune response and cannot detect infection until seroconversion occurs (typically 2-4 weeks). Fourth-generation Ag/Ab combination tests significantly shorten the window period by detecting p24 antigen alongside antibodies. HIV RNA PCR can detect infection within 7-14 days of exposure and is increasingly used in acute care settings and occupational medicine. Understanding these diagnostic capabilities is crucial for identifying acutely infected individuals who are highly infectious. Modern testing algorithms should include antigen or nucleic acid testing when standard antibody tests are negative but acute infection is suspected.</w:t>
      </w:r>
    </w:p>
    <w:p>
      <w:r>
        <w:t xml:space="preserve">Positive Marks: 1</w:t>
      </w:r>
    </w:p>
    <w:p>
      <w:r>
        <w:t xml:space="preserve">Negative Marks: 0.33</w:t>
      </w:r>
    </w:p>
    <w:p/>
    <w:p>
      <w:r>
        <w:rPr>
          <w:b/>
        </w:rPr>
        <w:t xml:space="preserve">Question: In HIV treatment-naïve patients with CD4 count &gt;200 cells/mm³, which of the following represents a current WHO/INC preferred first-line antiretroviral regimen?</w:t>
      </w:r>
    </w:p>
    <w:p>
      <w:r>
        <w:t xml:space="preserve">(a) Zidovudine + Lamivudine + Efavirenz</w:t>
      </w:r>
    </w:p>
    <w:p>
      <w:r>
        <w:t xml:space="preserve">(b) Tenofovir/Emtricitabine (TDF/FTC) + Dolutegravir</w:t>
      </w:r>
    </w:p>
    <w:p>
      <w:r>
        <w:t xml:space="preserve">(c) Ritonavir-boosted Lopinavir + Abacavir + Lamivudine</w:t>
      </w:r>
    </w:p>
    <w:p>
      <w:r>
        <w:t xml:space="preserve">(d) Zidovudine monotherapy with CD4 monitoring</w:t>
      </w:r>
    </w:p>
    <w:p>
      <w:r>
        <w:t xml:space="preserve">Answer: b</w:t>
      </w:r>
    </w:p>
    <w:p>
      <w:r>
        <w:t xml:space="preserve">Solution: TDF/FTC (or TDF/3TC) plus an integrase inhibitor (dolutegravir or bictegravir preferred) represents current WHO and INC preferred first-line ART. Integrase inhibitors have largely replaced NNRTIs (like efavirenz) in modern regimens due to superior efficacy, better tolerability, lower toxicity, and higher genetic barrier to resistance. Dolutegravir is particularly favored in resource-limited settings and pregnancy due to safety profile. Ritonavir-boosted protease inhibitors are second-line options. Monotherapy is obsolete and promotes resistance development. The shift toward integrase-based regimens reflects evidence-based advancement in HIV treatment globally. Fixed-dose combinations (like TAF/FTC/DTG or TDF/FTC/DTG) improve adherence and simplify treatment regimens.</w:t>
      </w:r>
    </w:p>
    <w:p>
      <w:r>
        <w:t xml:space="preserve">Positive Marks: 1</w:t>
      </w:r>
    </w:p>
    <w:p>
      <w:r>
        <w:t xml:space="preserve">Negative Marks: 0.33</w:t>
      </w:r>
    </w:p>
    <w:p/>
    <w:p>
      <w:r>
        <w:rPr>
          <w:b/>
        </w:rPr>
        <w:t xml:space="preserve">Question: Immune reconstitution inflammatory syndrome (IRIS) occurs in severely immunosuppressed patients shortly after starting antiretroviral therapy. What best explains the pathophysiological mechanism?</w:t>
      </w:r>
    </w:p>
    <w:p>
      <w:r>
        <w:t xml:space="preserve">(a) Inadequate viral suppression leading to persistent uncontrolled viral replication</w:t>
      </w:r>
    </w:p>
    <w:p>
      <w:r>
        <w:t xml:space="preserve">(b) Allergic hypersensitivity reaction to antiretroviral drugs causing systemic inflammation</w:t>
      </w:r>
    </w:p>
    <w:p>
      <w:r>
        <w:t xml:space="preserve">(c) Paradoxical inflammatory response as immune function recovers and recognizes chronic opportunistic pathogen antigens</w:t>
      </w:r>
    </w:p>
    <w:p>
      <w:r>
        <w:t xml:space="preserve">(d) Direct toxicity of antiretroviral drugs on lymphocyte populations</w:t>
      </w:r>
    </w:p>
    <w:p>
      <w:r>
        <w:t xml:space="preserve">Answer: c</w:t>
      </w:r>
    </w:p>
    <w:p>
      <w:r>
        <w:t xml:space="preserve">Solution: IRIS is a paradoxical clinical worsening occurring when severely immunosuppressed patients (CD4 &lt;50) initiate ART and experience rapid immune reconstitution. As CD4 counts recover over days to weeks, the reconstituting immune system mounts strong inflammatory responses against opportunistic infections or their antigens, causing fever, inflammation, and sometimes organ involvement. Common IRIS triggers include tuberculosis, CMV, and MAC. IRIS is distinct from treatment failure (ongoing viral replication), drug allergy, or toxicity. Management involves continuing ART to allow immune recovery, treating underlying OI, and sometimes using corticosteroids. Early recognition requires understanding baseline CD4 count, CD4 trajectory, and temporal correlation with ART initiation. IRIS is a sign of immune recovery and generally does not require stopping ART—doing so worsens outcomes.</w:t>
      </w:r>
    </w:p>
    <w:p>
      <w:r>
        <w:t xml:space="preserve">Positive Marks: 1</w:t>
      </w:r>
    </w:p>
    <w:p>
      <w:r>
        <w:t xml:space="preserve">Negative Marks: 0.33</w:t>
      </w:r>
    </w:p>
    <w:p/>
    <w:p>
      <w:r>
        <w:rPr>
          <w:b/>
        </w:rPr>
        <w:t xml:space="preserve">Question: In acute retroviral syndrome (primary HIV infection occurring 2-4 weeks after exposure), which pattern characterizes CD4+ count and viral load changes during the symptomatic acute phase?</w:t>
      </w:r>
    </w:p>
    <w:p>
      <w:r>
        <w:t xml:space="preserve">(a) Both CD4 count and viral load remain stable throughout acute illness</w:t>
      </w:r>
    </w:p>
    <w:p>
      <w:r>
        <w:t xml:space="preserve">(b) Markedly elevated viral load (often &gt;100,000 copies/mL) with only mild CD4 decline</w:t>
      </w:r>
    </w:p>
    <w:p>
      <w:r>
        <w:t xml:space="preserve">(c) Profound CD4 count decline (&gt;500 cells/mm³) with undetectable viral load</w:t>
      </w:r>
    </w:p>
    <w:p>
      <w:r>
        <w:t xml:space="preserve">(d) Progressive increase in both CD4 count and viral load over subsequent weeks</w:t>
      </w:r>
    </w:p>
    <w:p>
      <w:r>
        <w:t xml:space="preserve">Answer: b</w:t>
      </w:r>
    </w:p>
    <w:p>
      <w:r>
        <w:t xml:space="preserve">Solution: Acute retroviral syndrome presents with very high viral loads (often 100,000-1,000,000 copies/mL) despite only mild CD4 decline (typically 200-500 cells/mm³ drop from baseline). This reflects the initial phase of viral replication before effective immune containment. The symptomatic acute phase (fever, rash, lymphadenopathy, malaise) coincides with peak virulence and infectivity. Subsequently, CD8+ CTL response begins containing viral replication, causing viral load to decline as CD4 count partially recovers. This biphasic pattern—initial viral surge followed by immune response—distinguishes acute infection. Recognition of acute retroviral syndrome is important for timely diagnosis (PCR/antigen test), early ART consideration in some guidelines, and counseling regarding high infectivity. Failure to recognize acute infection may result in continued transmission due to unawareness of positive status.</w:t>
      </w:r>
    </w:p>
    <w:p>
      <w:r>
        <w:t xml:space="preserve">Positive Marks: 1</w:t>
      </w:r>
    </w:p>
    <w:p>
      <w:r>
        <w:t xml:space="preserve">Negative Marks: 0.33</w:t>
      </w:r>
    </w:p>
    <w:p/>
    <w:p>
      <w:r>
        <w:rPr>
          <w:b/>
        </w:rPr>
        <w:t xml:space="preserve">Question: The CCR5-Δ32 (32 base pair deletion in CCR5 gene) mutation confers natural resistance to HIV infection in which genetic configuration?</w:t>
      </w:r>
    </w:p>
    <w:p>
      <w:r>
        <w:t xml:space="preserve">(a) Heterozygous carriers show complete resistance; homozygous individuals show partial resistance</w:t>
      </w:r>
    </w:p>
    <w:p>
      <w:r>
        <w:t xml:space="preserve">(b) Homozygous individuals show complete resistance; heterozygous carriers are susceptible</w:t>
      </w:r>
    </w:p>
    <w:p>
      <w:r>
        <w:t xml:space="preserve">(c) Homozygous individuals show complete resistance to R5-tropic strains; heterozygotes show partial protection</w:t>
      </w:r>
    </w:p>
    <w:p>
      <w:r>
        <w:t xml:space="preserve">(d) Both homozygous and heterozygous individuals have identical equal protection</w:t>
      </w:r>
    </w:p>
    <w:p>
      <w:r>
        <w:t xml:space="preserve">Answer: c</w:t>
      </w:r>
    </w:p>
    <w:p>
      <w:r>
        <w:t xml:space="preserve">Solution: Individuals homozygous for CCR5-Δ32 are functionally resistant to HIV infection by preventing R5-tropic (CCR5-using) virus entry, as demonstrated by the Berlin patient who survived CCR5Δ32 homozygous stem cell transplant. Heterozygous carriers show partial protection with delayed disease progression but remain susceptible to infection. The mutation is rare globally (&lt;15% in Northern Europeans, &lt;2% in African/Asian populations). X4-tropic strains using CXCR4 co-receptor can still infect even homozygous individuals, though this is uncommon. This genetic discovery prompted development of maraviroc (CCR5 antagonist) and guided understanding of co-receptor tropism in HIV pathogenesis. The CCR5Δ32 example illustrates natural host genetic factors influencing HIV susceptibility and provides therapeutic targets for functional cure strategies.</w:t>
      </w:r>
    </w:p>
    <w:p>
      <w:r>
        <w:t xml:space="preserve">Positive Marks: 1</w:t>
      </w:r>
    </w:p>
    <w:p>
      <w:r>
        <w:t xml:space="preserve">Negative Marks: 0.33</w:t>
      </w:r>
    </w:p>
    <w:p/>
    <w:p>
      <w:r>
        <w:rPr>
          <w:b/>
        </w:rPr>
        <w:t xml:space="preserve">Question: A patient has been on the same antiretroviral regimen for 8 weeks and demonstrates persistent viral load of 85 copies/mL despite good medication adherence. What is the most appropriate next step in management?</w:t>
      </w:r>
    </w:p>
    <w:p>
      <w:r>
        <w:t xml:space="preserve">(a) Increase the dose of all antiretroviral drugs</w:t>
      </w:r>
    </w:p>
    <w:p>
      <w:r>
        <w:t xml:space="preserve">(b) Perform HIV genotypic drug resistance testing to identify resistance mutations</w:t>
      </w:r>
    </w:p>
    <w:p>
      <w:r>
        <w:t xml:space="preserve">(c) Immediately switch to a completely different antiretroviral regimen</w:t>
      </w:r>
    </w:p>
    <w:p>
      <w:r>
        <w:t xml:space="preserve">(d) Add a fourth antiretroviral agent to the existing regimen</w:t>
      </w:r>
    </w:p>
    <w:p>
      <w:r>
        <w:t xml:space="preserve">Answer: b</w:t>
      </w:r>
    </w:p>
    <w:p>
      <w:r>
        <w:t xml:space="preserve">Solution: Virological failure (viral load persistently &gt;50 copies/mL after 12-24 weeks) requires HIV genotypic drug resistance testing (DNA sequencing of reverse transcriptase, protease, and integrase genes) to identify resistance mutations and guide selection of an effective alternative regimen. At 8 weeks with adherence, this may represent slower-than-expected decline rather than failure, but resistance testing is indicated if viral load remains detectable. Testing must occur while patient is still on the failing regimen to detect relevant resistance mutations. Results directly guide selection of new drugs to which virus remains susceptible. While adherence assessment and drug level monitoring are also important, resistance testing determines the specific treatment change needed. Randomly changing regimens without resistance data risks selecting drugs to which virus is already resistant.</w:t>
      </w:r>
    </w:p>
    <w:p>
      <w:r>
        <w:t xml:space="preserve">Positive Marks: 1</w:t>
      </w:r>
    </w:p>
    <w:p>
      <w:r>
        <w:t xml:space="preserve">Negative Marks: 0.33</w:t>
      </w:r>
    </w:p>
    <w:p/>
    <w:p>
      <w:r>
        <w:rPr>
          <w:b/>
        </w:rPr>
        <w:t xml:space="preserve">Question: Long-term non-progressors (patients who maintain CD4 counts &gt;500 cells/mm³ without antiretroviral therapy for &gt;10 years) show strong association with which HLA class I allele?</w:t>
      </w:r>
    </w:p>
    <w:p>
      <w:r>
        <w:t xml:space="preserve">(a) HLA-A3 and HLA-B7</w:t>
      </w:r>
    </w:p>
    <w:p>
      <w:r>
        <w:t xml:space="preserve">(b) HLA-B27, HLA-B51, and especially HLA-B57</w:t>
      </w:r>
    </w:p>
    <w:p>
      <w:r>
        <w:t xml:space="preserve">(c) HLA-DR7</w:t>
      </w:r>
    </w:p>
    <w:p>
      <w:r>
        <w:t xml:space="preserve">(d) HLA-Cw4</w:t>
      </w:r>
    </w:p>
    <w:p>
      <w:r>
        <w:t xml:space="preserve">Answer: b</w:t>
      </w:r>
    </w:p>
    <w:p>
      <w:r>
        <w:t xml:space="preserve">Solution: HLA-B27, HLA-B51, and particularly HLA-B57 are strongly associated with natural resistance to HIV progression and long-term non-progressive infection. These alleles facilitate presentation of HIV peptides to cytotoxic T lymphocytes (CTLs), generating potent anti-HIV immune responses that naturally control viral replication. HLA-B57 carriers frequently maintain spontaneous viral suppression with CD4 counts &gt;500 cells/mm³ without ART. Conversely, HLA-B35 and HLA-Cw4 are associated with rapid disease progression. HLA type also influences susceptibility to antiretroviral hypersensitivity (HLA-B*5701 with abacavir). Understanding these HLA-disease associations exemplifies genetic control of HIV infection and guides personalized medicine approaches. The protective HLA types provide insights into effective HIV immune responses useful for vaccine development.</w:t>
      </w:r>
    </w:p>
    <w:p>
      <w:r>
        <w:t xml:space="preserve">Positive Marks: 1</w:t>
      </w:r>
    </w:p>
    <w:p>
      <w:r>
        <w:t xml:space="preserve">Negative Marks: 0.33</w:t>
      </w:r>
    </w:p>
    <w:p/>
    <w:p>
      <w:r>
        <w:rPr>
          <w:b/>
        </w:rPr>
        <w:t xml:space="preserve">Question: Which integrase strand transfer inhibitor is currently the preferred first-line agent in most global HIV treatment guidelines and shows particular advantages in pregnancy and resource-limited settings?</w:t>
      </w:r>
    </w:p>
    <w:p>
      <w:r>
        <w:t xml:space="preserve">(a) Raltegravir</w:t>
      </w:r>
    </w:p>
    <w:p>
      <w:r>
        <w:t xml:space="preserve">(b) Dolutegravir</w:t>
      </w:r>
    </w:p>
    <w:p>
      <w:r>
        <w:t xml:space="preserve">(c) Bictegravir</w:t>
      </w:r>
    </w:p>
    <w:p>
      <w:r>
        <w:t xml:space="preserve">(d) Cabotegravir</w:t>
      </w:r>
    </w:p>
    <w:p>
      <w:r>
        <w:t xml:space="preserve">Answer: b</w:t>
      </w:r>
    </w:p>
    <w:p>
      <w:r>
        <w:t xml:space="preserve">Solution: Dolutegravir is the preferred integrase inhibitor in WHO and INC first-line regimens due to superior efficacy (minimal resistance development even with suboptimal adherence), excellent tolerability with minimal side effects, proven safety in pregnancy, and cost-effectiveness in resource-limited settings. Dolutegravir maintains activity even with some resistance mutations, providing high genetic barrier to resistance. Raltegravir has lower genetic barrier and requires twice-daily dosing. Bictegravir is newer and equally effective but more expensive. Cabotegravir is long-acting but reserved for specific situations. Dolutegravir-based regimens (commonly as fixed-dose combinations with TDF/FTC or TAF/FTC) have become the standard globally because of the combination of efficacy, safety, and feasibility across diverse populations and settings.</w:t>
      </w:r>
    </w:p>
    <w:p>
      <w:r>
        <w:t xml:space="preserve">Positive Marks: 1</w:t>
      </w:r>
    </w:p>
    <w:p>
      <w:r>
        <w:t xml:space="preserve">Negative Marks: 0.33</w:t>
      </w:r>
    </w:p>
    <w:p/>
    <w:p>
      <w:r>
        <w:rPr>
          <w:b/>
        </w:rPr>
        <w:t xml:space="preserve">Question: A 30-year-old patient presents 5 days after potential high-risk sexual HIV exposure with fever, rash, and cervical lymphadenopathy. Rapid HIV antibody test is negative. Which statement best explains this clinical presentation?</w:t>
      </w:r>
    </w:p>
    <w:p>
      <w:r>
        <w:t xml:space="preserve">(a) The patient is definitely HIV-negative because the rapid antibody test is negative</w:t>
      </w:r>
    </w:p>
    <w:p>
      <w:r>
        <w:t xml:space="preserve">(b) The patient may be in the window period when viral replication is high but antibodies remain undetectable</w:t>
      </w:r>
    </w:p>
    <w:p>
      <w:r>
        <w:t xml:space="preserve">(c) The patient has acute retroviral syndrome but the negative test rules out HIV infection</w:t>
      </w:r>
    </w:p>
    <w:p>
      <w:r>
        <w:t xml:space="preserve">(d) Rapid antibody tests are 100% sensitive and can reliably exclude HIV infection within the first 5 days</w:t>
      </w:r>
    </w:p>
    <w:p>
      <w:r>
        <w:t xml:space="preserve">Answer: b</w:t>
      </w:r>
    </w:p>
    <w:p>
      <w:r>
        <w:t xml:space="preserve">Solution: The window period represents the interval between HIV acquisition and seroconversion when viral replication is high but antibodies remain undetectable. This patient's fever, rash, and lymphadenopathy 5 days post-exposure is consistent with acute retroviral syndrome (primary HIV infection), occurring 2-4 weeks post-infection with high viremia. Option (a) is wrong—negative tests cannot exclude infection during window period; (c) is self-contradictory as ARS IS HIV infection; (d) is false as rapid tests lack early sensitivity. Key mnemonic: 'Window = Negative serology but positive viremia' and 'ARS = 2-4 weeks'. Nursing implication: manage as possible HIV; repeat testing (4th generation or HIV RNA) if clinical suspicion remains.</w:t>
      </w:r>
    </w:p>
    <w:p>
      <w:r>
        <w:t xml:space="preserve">Positive Marks: 1</w:t>
      </w:r>
    </w:p>
    <w:p>
      <w:r>
        <w:t xml:space="preserve">Negative Marks: 0.33</w:t>
      </w:r>
    </w:p>
    <w:sectPr>
      <w:pgSz w:w="11906" w:h="16838"/>
      <w:pgMar w:top="1134" w:right="1134" w:bottom="1134" w:left="1134"/>
    </w:sectPr>
  </w:body>
</w:document>
</file>