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causative agent of human influenza pandemic?</w:t>
      </w:r>
    </w:p>
    <w:p>
      <w:r>
        <w:t xml:space="preserve">(a) Orthomyxovirus (Influenza virus A, B, C)</w:t>
      </w:r>
    </w:p>
    <w:p>
      <w:r>
        <w:t xml:space="preserve">(b) Paramyxovirus</w:t>
      </w:r>
    </w:p>
    <w:p>
      <w:r>
        <w:t xml:space="preserve">(c) Rhinovirus</w:t>
      </w:r>
    </w:p>
    <w:p>
      <w:r>
        <w:t xml:space="preserve">(d) Adenovirus</w:t>
      </w:r>
    </w:p>
    <w:p>
      <w:r>
        <w:t xml:space="preserve">Answer: a</w:t>
      </w:r>
    </w:p>
    <w:p>
      <w:r>
        <w:t xml:space="preserve">Solution: Orthomyxoviruses, particularly Influenza A and B, are the primary causative agents of influenza epidemics and pandemics. Paramyxoviruses cause mumps and measles, not influenza. Rhinoviruses cause common cold, and Adenoviruses cause various respiratory infections but not pandemic influenza. The family Orthomyxoviridae includes segmented RNA viruses with unique antigenic properties.</w:t>
      </w:r>
    </w:p>
    <w:p>
      <w:r>
        <w:t xml:space="preserve">Positive Marks: 1</w:t>
      </w:r>
    </w:p>
    <w:p>
      <w:r>
        <w:t xml:space="preserve">Negative Marks: 0.33</w:t>
      </w:r>
    </w:p>
    <w:p/>
    <w:p>
      <w:r>
        <w:rPr>
          <w:b/>
        </w:rPr>
        <w:t xml:space="preserve">Question: What is the primary mode of transmission for influenza and COVID-19 viruses?</w:t>
      </w:r>
    </w:p>
    <w:p>
      <w:r>
        <w:t xml:space="preserve">(a) Respiratory droplets via coughing, sneezing, and talking</w:t>
      </w:r>
    </w:p>
    <w:p>
      <w:r>
        <w:t xml:space="preserve">(b) Through contaminated food and water</w:t>
      </w:r>
    </w:p>
    <w:p>
      <w:r>
        <w:t xml:space="preserve">(c) Insect vectors</w:t>
      </w:r>
    </w:p>
    <w:p>
      <w:r>
        <w:t xml:space="preserve">(d) Transplacental route only</w:t>
      </w:r>
    </w:p>
    <w:p>
      <w:r>
        <w:t xml:space="preserve">Answer: a</w:t>
      </w:r>
    </w:p>
    <w:p>
      <w:r>
        <w:t xml:space="preserve">Solution: Both influenza and COVID-19 are primarily transmitted through respiratory droplets expelled during coughing, sneezing, and talking within 6 feet distance. Faeco-oral and insect-vector transmission are not primary modes. While rare vertical transmission of COVID-19 has been documented, it is not the primary transmission mechanism. Understanding droplet transmission guides isolation precautions and personal protective equipment requirements.</w:t>
      </w:r>
    </w:p>
    <w:p>
      <w:r>
        <w:t xml:space="preserve">Positive Marks: 1</w:t>
      </w:r>
    </w:p>
    <w:p>
      <w:r>
        <w:t xml:space="preserve">Negative Marks: 0.33</w:t>
      </w:r>
    </w:p>
    <w:p/>
    <w:p>
      <w:r>
        <w:rPr>
          <w:b/>
        </w:rPr>
        <w:t xml:space="preserve">Question: What is the typical incubation period for COVID-19 infection?</w:t>
      </w:r>
    </w:p>
    <w:p>
      <w:r>
        <w:t xml:space="preserve">(a) 2-14 days, commonly 5-6 days</w:t>
      </w:r>
    </w:p>
    <w:p>
      <w:r>
        <w:t xml:space="preserve">(b) 24-48 hours</w:t>
      </w:r>
    </w:p>
    <w:p>
      <w:r>
        <w:t xml:space="preserve">(c) 3-4 weeks</w:t>
      </w:r>
    </w:p>
    <w:p>
      <w:r>
        <w:t xml:space="preserve">(d) 1-2 days</w:t>
      </w:r>
    </w:p>
    <w:p>
      <w:r>
        <w:t xml:space="preserve">Answer: a</w:t>
      </w:r>
    </w:p>
    <w:p>
      <w:r>
        <w:t xml:space="preserve">Solution: The incubation period for COVID-19 averages 5-6 days but ranges from 2-14 days, which is why 14-day quarantine was initially recommended for exposed individuals. Some individuals remain asymptomatic throughout. Influenza has a shorter incubation of 1-4 days. Understanding this period is crucial for contact tracing, isolation protocols, and determining when quarantine can be safely discontinued.</w:t>
      </w:r>
    </w:p>
    <w:p>
      <w:r>
        <w:t xml:space="preserve">Positive Marks: 1</w:t>
      </w:r>
    </w:p>
    <w:p>
      <w:r>
        <w:t xml:space="preserve">Negative Marks: 0.33</w:t>
      </w:r>
    </w:p>
    <w:p/>
    <w:p>
      <w:r>
        <w:rPr>
          <w:b/>
        </w:rPr>
        <w:t xml:space="preserve">Question: Which of the following is the MOST effective single preventive measure for influenza?</w:t>
      </w:r>
    </w:p>
    <w:p>
      <w:r>
        <w:t xml:space="preserve">(a) Annual influenza vaccination</w:t>
      </w:r>
    </w:p>
    <w:p>
      <w:r>
        <w:t xml:space="preserve">(b) Wearing N95 mask only when symptomatic</w:t>
      </w:r>
    </w:p>
    <w:p>
      <w:r>
        <w:t xml:space="preserve">(c) Vitamin C supplementation</w:t>
      </w:r>
    </w:p>
    <w:p>
      <w:r>
        <w:t xml:space="preserve">(d) Antibiotic prophylaxis</w:t>
      </w:r>
    </w:p>
    <w:p>
      <w:r>
        <w:t xml:space="preserve">Answer: a</w:t>
      </w:r>
    </w:p>
    <w:p>
      <w:r>
        <w:t xml:space="preserve">Solution: Annual influenza vaccination is the most effective preventive measure, reducing disease incidence by 40-60% depending on vaccine-strain match. Masks provide protection but are less effective than vaccination for primary prevention. Vitamin C lacks strong evidence for influenza prevention. Antibiotics are ineffective against viral infections and inappropriate for viral prophylaxis. Vaccination protects both individuals and the community through herd immunity.</w:t>
      </w:r>
    </w:p>
    <w:p>
      <w:r>
        <w:t xml:space="preserve">Positive Marks: 1</w:t>
      </w:r>
    </w:p>
    <w:p>
      <w:r>
        <w:t xml:space="preserve">Negative Marks: 0.33</w:t>
      </w:r>
    </w:p>
    <w:p/>
    <w:p>
      <w:r>
        <w:rPr>
          <w:b/>
        </w:rPr>
        <w:t xml:space="preserve">Question: Which antiviral agent is MOST effective when administered within 48 hours of influenza symptom onset?</w:t>
      </w:r>
    </w:p>
    <w:p>
      <w:r>
        <w:t xml:space="preserve">(a) Oseltamivir (Tamiflu)</w:t>
      </w:r>
    </w:p>
    <w:p>
      <w:r>
        <w:t xml:space="preserve">(b) Amoxicillin</w:t>
      </w:r>
    </w:p>
    <w:p>
      <w:r>
        <w:t xml:space="preserve">(c) Azithromycin</w:t>
      </w:r>
    </w:p>
    <w:p>
      <w:r>
        <w:t xml:space="preserve">(d) Cephalexin</w:t>
      </w:r>
    </w:p>
    <w:p>
      <w:r>
        <w:t xml:space="preserve">Answer: a</w:t>
      </w:r>
    </w:p>
    <w:p>
      <w:r>
        <w:t xml:space="preserve">Solution: Oseltamivir is a neuraminidase inhibitor that reduces symptom duration by approximately 1 day when given within 48 hours of symptom onset and reduces complications and hospitalization rates. Amoxicillin and Cephalexin are beta-lactam antibiotics completely ineffective against viruses. Azithromycin has no direct antiviral activity against influenza. The 48-hour window is critical for efficacy, making early diagnosis and rapid treatment initiation essential.</w:t>
      </w:r>
    </w:p>
    <w:p>
      <w:r>
        <w:t xml:space="preserve">Positive Marks: 1</w:t>
      </w:r>
    </w:p>
    <w:p>
      <w:r>
        <w:t xml:space="preserve">Negative Marks: 0.33</w:t>
      </w:r>
    </w:p>
    <w:p/>
    <w:p>
      <w:r>
        <w:rPr>
          <w:b/>
        </w:rPr>
        <w:t xml:space="preserve">Question: Which laboratory test is considered the GOLD STANDARD for diagnosing COVID-19 in the acute phase?</w:t>
      </w:r>
    </w:p>
    <w:p>
      <w:r>
        <w:t xml:space="preserve">(a) Reverse transcription-polymerase chain reaction (RT-PCR) from nasopharyngeal swab</w:t>
      </w:r>
    </w:p>
    <w:p>
      <w:r>
        <w:t xml:space="preserve">(b) Serum IgG antibody test</w:t>
      </w:r>
    </w:p>
    <w:p>
      <w:r>
        <w:t xml:space="preserve">(c) Chest X-ray findings</w:t>
      </w:r>
    </w:p>
    <w:p>
      <w:r>
        <w:t xml:space="preserve">(d) Clinical symptoms alone</w:t>
      </w:r>
    </w:p>
    <w:p>
      <w:r>
        <w:t xml:space="preserve">Answer: a</w:t>
      </w:r>
    </w:p>
    <w:p>
      <w:r>
        <w:t xml:space="preserve">Solution: RT-PCR from nasopharyngeal or oropharyngeal swabs is the gold standard for acute COVID-19 diagnosis with sensitivity of 95-98% and high specificity. IgG antibodies appear during convalescent phase indicating past infection, not acute disease. Chest X-ray has variable findings and lacks diagnostic specificity. Clinical diagnosis without confirmation can miss atypical presentations. Viral nucleic acid detection via RT-PCR remains the definitive diagnostic standard.</w:t>
      </w:r>
    </w:p>
    <w:p>
      <w:r>
        <w:t xml:space="preserve">Positive Marks: 1</w:t>
      </w:r>
    </w:p>
    <w:p>
      <w:r>
        <w:t xml:space="preserve">Negative Marks: 0.33</w:t>
      </w:r>
    </w:p>
    <w:p/>
    <w:p>
      <w:r>
        <w:rPr>
          <w:b/>
        </w:rPr>
        <w:t xml:space="preserve">Question: Which of the following is the MAIN clinical feature distinguishing COVID-19 from influenza?</w:t>
      </w:r>
    </w:p>
    <w:p>
      <w:r>
        <w:t xml:space="preserve">(a) COVID-19 more commonly causes anosmia and ageusia (loss of taste/smell), while influenza typically does not</w:t>
      </w:r>
    </w:p>
    <w:p>
      <w:r>
        <w:t xml:space="preserve">(b) Influenza causes pneumonia more frequently than COVID-19</w:t>
      </w:r>
    </w:p>
    <w:p>
      <w:r>
        <w:t xml:space="preserve">(c) COVID-19 never causes fever</w:t>
      </w:r>
    </w:p>
    <w:p>
      <w:r>
        <w:t xml:space="preserve">(d) Influenza has longer incubation period than COVID-19</w:t>
      </w:r>
    </w:p>
    <w:p>
      <w:r>
        <w:t xml:space="preserve">Answer: a</w:t>
      </w:r>
    </w:p>
    <w:p>
      <w:r>
        <w:t xml:space="preserve">Solution: Loss of taste and smell (anosmia and ageusia) is a distinctive feature of COVID-19, occurring in 33-50% of patients, while relatively uncommon in influenza. Both can cause pneumonia, though COVID-19 has higher rates of severe pneumonia. Both typically present with fever. Influenza has shorter incubation (1-4 days) than COVID-19 (2-14 days). Anosmia/ageusia helped differentiate COVID-19 from influenza during early pandemic diagnosis.</w:t>
      </w:r>
    </w:p>
    <w:p>
      <w:r>
        <w:t xml:space="preserve">Positive Marks: 1</w:t>
      </w:r>
    </w:p>
    <w:p>
      <w:r>
        <w:t xml:space="preserve">Negative Marks: 0.33</w:t>
      </w:r>
    </w:p>
    <w:p/>
    <w:p>
      <w:r>
        <w:rPr>
          <w:b/>
        </w:rPr>
        <w:t xml:space="preserve">Question: Which vaccine platform is used for mRNA COVID-19 vaccines (e.g., Pfizer, Moderna)?</w:t>
      </w:r>
    </w:p>
    <w:p>
      <w:r>
        <w:t xml:space="preserve">(a) Messenger RNA encoding spike protein that triggers immune response</w:t>
      </w:r>
    </w:p>
    <w:p>
      <w:r>
        <w:t xml:space="preserve">(b) Live attenuated virus</w:t>
      </w:r>
    </w:p>
    <w:p>
      <w:r>
        <w:t xml:space="preserve">(c) Inactivated whole virus</w:t>
      </w:r>
    </w:p>
    <w:p>
      <w:r>
        <w:t xml:space="preserve">(d) Recombinant viral vector</w:t>
      </w:r>
    </w:p>
    <w:p>
      <w:r>
        <w:t xml:space="preserve">Answer: a</w:t>
      </w:r>
    </w:p>
    <w:p>
      <w:r>
        <w:t xml:space="preserve">Solution: mRNA vaccines deliver genetic instructions for cells to produce the coronavirus spike protein, triggering both humoral and cellular immune responses without containing actual virus or integrating into host DNA. Live attenuated vaccines use weakened virus. Inactivated vaccines use killed virus. Viral vector vaccines use modified virus to deliver genetic material. mRNA vaccines provided rapid production and demonstrated strong immunogenicity in COVID-19 vaccination campaigns.</w:t>
      </w:r>
    </w:p>
    <w:p>
      <w:r>
        <w:t xml:space="preserve">Positive Marks: 1</w:t>
      </w:r>
    </w:p>
    <w:p>
      <w:r>
        <w:t xml:space="preserve">Negative Marks: 0.33</w:t>
      </w:r>
    </w:p>
    <w:p/>
    <w:p>
      <w:r>
        <w:rPr>
          <w:b/>
        </w:rPr>
        <w:t xml:space="preserve">Question: Which of the following represents a PRIMARY complication of severe COVID-19 infection?</w:t>
      </w:r>
    </w:p>
    <w:p>
      <w:r>
        <w:t xml:space="preserve">(a) Acute respiratory distress syndrome (ARDS) with multi-organ dysfunction</w:t>
      </w:r>
    </w:p>
    <w:p>
      <w:r>
        <w:t xml:space="preserve">(b) Permanent loss of taste/smell in 100% of survivors</w:t>
      </w:r>
    </w:p>
    <w:p>
      <w:r>
        <w:t xml:space="preserve">(c) Spontaneous bone fractures</w:t>
      </w:r>
    </w:p>
    <w:p>
      <w:r>
        <w:t xml:space="preserve">(d) Immediate renal failure in all hospitalized patients</w:t>
      </w:r>
    </w:p>
    <w:p>
      <w:r>
        <w:t xml:space="preserve">Answer: a</w:t>
      </w:r>
    </w:p>
    <w:p>
      <w:r>
        <w:t xml:space="preserve">Solution: ARDS is the major life-threatening complication of severe COVID-19, characterized by acute hypoxemia and bilateral infiltrates with multi-organ dysfunction in 7-10% of hospitalized patients. While anosmia/ageusia are common early symptoms, they are not universal or permanent complications. Spontaneous fractures and universal renal failure do not characterize COVID-19. Understanding ARDS pathophysiology is crucial for ICU management.</w:t>
      </w:r>
    </w:p>
    <w:p>
      <w:r>
        <w:t xml:space="preserve">Positive Marks: 1</w:t>
      </w:r>
    </w:p>
    <w:p>
      <w:r>
        <w:t xml:space="preserve">Negative Marks: 0.33</w:t>
      </w:r>
    </w:p>
    <w:p/>
    <w:p>
      <w:r>
        <w:rPr>
          <w:b/>
        </w:rPr>
        <w:t xml:space="preserve">Question: What is the PRIMARY pathophysiological mechanism of acute respiratory distress syndrome (ARDS) in COVID-19?</w:t>
      </w:r>
    </w:p>
    <w:p>
      <w:r>
        <w:t xml:space="preserve">(a) Excessive inflammatory cytokine release causing capillary endothelial injury and pulmonary edema</w:t>
      </w:r>
    </w:p>
    <w:p>
      <w:r>
        <w:t xml:space="preserve">(b) Direct bacterial invasion of lung parenchyma</w:t>
      </w:r>
    </w:p>
    <w:p>
      <w:r>
        <w:t xml:space="preserve">(c) Complete airway obstruction by mucus plugs</w:t>
      </w:r>
    </w:p>
    <w:p>
      <w:r>
        <w:t xml:space="preserve">(d) Pneumothorax from spontaneous lung rupture</w:t>
      </w:r>
    </w:p>
    <w:p>
      <w:r>
        <w:t xml:space="preserve">Answer: a</w:t>
      </w:r>
    </w:p>
    <w:p>
      <w:r>
        <w:t xml:space="preserve">Solution: COVID-19 triggers hyperinflammatory response with elevated IL-6, TNF-alpha, and IL-1 causing capillary damage, increased vascular permeability, and pulmonary edema—hallmarks of ARDS. Bacterial invasion is not the primary mechanism though secondary infections can occur. Mucus plugging and spontaneous pneumothorax are not typical mechanisms. The 'cytokine storm' explains why severely immunocompromised patients sometimes have better outcomes with limited immune activation.</w:t>
      </w:r>
    </w:p>
    <w:p>
      <w:r>
        <w:t xml:space="preserve">Positive Marks: 1</w:t>
      </w:r>
    </w:p>
    <w:p>
      <w:r>
        <w:t xml:space="preserve">Negative Marks: 0.33</w:t>
      </w:r>
    </w:p>
    <w:p/>
    <w:p>
      <w:r>
        <w:rPr>
          <w:b/>
        </w:rPr>
        <w:t xml:space="preserve">Question: Which respiratory virus infection is CLASSICALLY associated with croup (laryngotracheobronchitis)?</w:t>
      </w:r>
    </w:p>
    <w:p>
      <w:r>
        <w:t xml:space="preserve">(a) Parainfluenza virus</w:t>
      </w:r>
    </w:p>
    <w:p>
      <w:r>
        <w:t xml:space="preserve">(b) Influenza A virus</w:t>
      </w:r>
    </w:p>
    <w:p>
      <w:r>
        <w:t xml:space="preserve">(c) Severe acute respiratory syndrome coronavirus 2 (SARS-CoV-2)</w:t>
      </w:r>
    </w:p>
    <w:p>
      <w:r>
        <w:t xml:space="preserve">(d) Respiratory syncytial virus (RSV)</w:t>
      </w:r>
    </w:p>
    <w:p>
      <w:r>
        <w:t xml:space="preserve">Answer: a</w:t>
      </w:r>
    </w:p>
    <w:p>
      <w:r>
        <w:t xml:space="preserve">Solution: Parainfluenza viruses are the most common cause of croup, presenting with barky seal-like cough and stridor, primarily in children. Influenza A causes severe respiratory disease but not classic croup. SARS-CoV-2 causes atypical presentations without classic croup features. RSV causes bronchiolitis in infants rather than croup. Parainfluenza's predilection for the subglottic region explains the characteristic croup presentation.</w:t>
      </w:r>
    </w:p>
    <w:p>
      <w:r>
        <w:t xml:space="preserve">Positive Marks: 1</w:t>
      </w:r>
    </w:p>
    <w:p>
      <w:r>
        <w:t xml:space="preserve">Negative Marks: 0.33</w:t>
      </w:r>
    </w:p>
    <w:p/>
    <w:p>
      <w:r>
        <w:rPr>
          <w:b/>
        </w:rPr>
        <w:t xml:space="preserve">Question: What is the APPROPRIATE respiratory isolation precaution for nursing care of influenza-positive patients?</w:t>
      </w:r>
    </w:p>
    <w:p>
      <w:r>
        <w:t xml:space="preserve">(a) Respiratory (droplet) precautions with private room; healthcare workers wear masks</w:t>
      </w:r>
    </w:p>
    <w:p>
      <w:r>
        <w:t xml:space="preserve">(b) Strict airborne precautions with HEPA filtration only</w:t>
      </w:r>
    </w:p>
    <w:p>
      <w:r>
        <w:t xml:space="preserve">(c) Standard precautions only; no special respiratory isolation</w:t>
      </w:r>
    </w:p>
    <w:p>
      <w:r>
        <w:t xml:space="preserve">(d) Contact precautions exclusively</w:t>
      </w:r>
    </w:p>
    <w:p>
      <w:r>
        <w:t xml:space="preserve">Answer: a</w:t>
      </w:r>
    </w:p>
    <w:p>
      <w:r>
        <w:t xml:space="preserve">Solution: Influenza requires respiratory (droplet) precautions including private room or cohorting with masking for healthcare workers. Airborne precautions are reserved for airborne pathogens like measles and tuberculosis. Standard precautions alone are insufficient for respiratory pathogens. Contact precautions alone miss droplet transmission risk. Proper isolation reduces healthcare-associated influenza transmission by up to 95% and should be maintained for 5-7 days after symptom onset.</w:t>
      </w:r>
    </w:p>
    <w:p>
      <w:r>
        <w:t xml:space="preserve">Positive Marks: 1</w:t>
      </w:r>
    </w:p>
    <w:p>
      <w:r>
        <w:t xml:space="preserve">Negative Marks: 0.33</w:t>
      </w:r>
    </w:p>
    <w:p/>
    <w:p>
      <w:r>
        <w:rPr>
          <w:b/>
        </w:rPr>
        <w:t xml:space="preserve">Question: What is the MECHANISM OF ACTION of remdesivir in treating severe COVID-19?</w:t>
      </w:r>
    </w:p>
    <w:p>
      <w:r>
        <w:t xml:space="preserve">(a) Nucleotide analog that inhibits viral RNA polymerase, terminating viral RNA synthesis</w:t>
      </w:r>
    </w:p>
    <w:p>
      <w:r>
        <w:t xml:space="preserve">(b) Blocks ACE2 receptor on host cells</w:t>
      </w:r>
    </w:p>
    <w:p>
      <w:r>
        <w:t xml:space="preserve">(c) Activates interferon-gamma response</w:t>
      </w:r>
    </w:p>
    <w:p>
      <w:r>
        <w:t xml:space="preserve">(d) Increases antibiotic penetration to lungs</w:t>
      </w:r>
    </w:p>
    <w:p>
      <w:r>
        <w:t xml:space="preserve">Answer: a</w:t>
      </w:r>
    </w:p>
    <w:p>
      <w:r>
        <w:t xml:space="preserve">Solution: Remdesivir is a nucleotide analog that incorporates into viral RNA chains, inhibiting SARS-CoV-2 RNA-dependent RNA polymerase and causing premature termination. It reduces time to recovery in moderate-severe COVID-19 by approximately 4 days. It does not block ACE2 receptors or directly activate interferon. Remdesivir's mechanism is similar to its antiviral action against Ebola virus, making it a broad-spectrum antiviral candidate.</w:t>
      </w:r>
    </w:p>
    <w:p>
      <w:r>
        <w:t xml:space="preserve">Positive Marks: 1</w:t>
      </w:r>
    </w:p>
    <w:p>
      <w:r>
        <w:t xml:space="preserve">Negative Marks: 0.33</w:t>
      </w:r>
    </w:p>
    <w:p/>
    <w:p>
      <w:r>
        <w:rPr>
          <w:b/>
        </w:rPr>
        <w:t xml:space="preserve">Question: Which COVID-19 variant was initially identified for highest transmissibility and rapid global spread in 2021-2022?</w:t>
      </w:r>
    </w:p>
    <w:p>
      <w:r>
        <w:t xml:space="preserve">(a) Omicron variant</w:t>
      </w:r>
    </w:p>
    <w:p>
      <w:r>
        <w:t xml:space="preserve">(b) Beta variant</w:t>
      </w:r>
    </w:p>
    <w:p>
      <w:r>
        <w:t xml:space="preserve">(c) Gamma variant</w:t>
      </w:r>
    </w:p>
    <w:p>
      <w:r>
        <w:t xml:space="preserve">(d) Kappa variant</w:t>
      </w:r>
    </w:p>
    <w:p>
      <w:r>
        <w:t xml:space="preserve">Answer: a</w:t>
      </w:r>
    </w:p>
    <w:p>
      <w:r>
        <w:t xml:space="preserve">Solution: The Omicron variant demonstrated the highest transmissibility among COVID-19 variants with R-value exceeding 8-12, leading to rapid global spread and subsequent sub-variant lineages. Beta variant had immune escape properties but lower transmissibility. Gamma and Kappa variants had regional spread. Omicron's transmissibility exceeded Delta variant despite lower severity per infection. Understanding variant epidemiology is crucial for public health planning.</w:t>
      </w:r>
    </w:p>
    <w:p>
      <w:r>
        <w:t xml:space="preserve">Positive Marks: 1</w:t>
      </w:r>
    </w:p>
    <w:p>
      <w:r>
        <w:t xml:space="preserve">Negative Marks: 0.33</w:t>
      </w:r>
    </w:p>
    <w:p/>
    <w:p>
      <w:r>
        <w:rPr>
          <w:b/>
        </w:rPr>
        <w:t xml:space="preserve">Question: What is the FUNDAMENTAL DIFFERENCE between antigenic drift and antigenic shift in influenza viruses?</w:t>
      </w:r>
    </w:p>
    <w:p>
      <w:r>
        <w:t xml:space="preserve">(a) Drift = point mutations in viral genes (gradual changes); Shift = reassortment of gene segments (sudden changes)</w:t>
      </w:r>
    </w:p>
    <w:p>
      <w:r>
        <w:t xml:space="preserve">(b) Drift requires vaccination annually; Shift never requires vaccine updates</w:t>
      </w:r>
    </w:p>
    <w:p>
      <w:r>
        <w:t xml:space="preserve">(c) Drift only affects influenza B; Shift only affects influenza A</w:t>
      </w:r>
    </w:p>
    <w:p>
      <w:r>
        <w:t xml:space="preserve">(d) Drift causes severe pandemics; Shift causes mild seasonal flu</w:t>
      </w:r>
    </w:p>
    <w:p>
      <w:r>
        <w:t xml:space="preserve">Answer: a</w:t>
      </w:r>
    </w:p>
    <w:p>
      <w:r>
        <w:t xml:space="preserve">Solution: Antigenic drift involves gradual accumulation of point mutations in HA/NA genes, requiring annual vaccine updates and causing seasonal epidemics. Antigenic shift occurs when different influenza viruses co-infect and exchange gene segments, creating novel hybrid viruses—mechanism behind pandemics (1918 Spanish flu, 1957 Asian flu, 1968 Hong Kong flu, 2009 H1N1). Only Influenza A undergoes major reassortment shifts. This distinction is fundamental to influenza epidemiology and vaccine strategy.</w:t>
      </w:r>
    </w:p>
    <w:p>
      <w:r>
        <w:t xml:space="preserve">Positive Marks: 1</w:t>
      </w:r>
    </w:p>
    <w:p>
      <w:r>
        <w:t xml:space="preserve">Negative Marks: 0.33</w:t>
      </w:r>
    </w:p>
    <w:p/>
    <w:p>
      <w:r>
        <w:rPr>
          <w:b/>
        </w:rPr>
        <w:t xml:space="preserve">Question: What is the pathophysiological significance of 'cytokine storm' in severe COVID-19?</w:t>
      </w:r>
    </w:p>
    <w:p>
      <w:r>
        <w:t xml:space="preserve">(a) Uncontrolled pro-inflammatory cytokine release (IL-6, TNF-alpha) causing tissue damage, thrombosis, and multi-organ failure</w:t>
      </w:r>
    </w:p>
    <w:p>
      <w:r>
        <w:t xml:space="preserve">(b) Increased antiviral interferon production that prevents viral replication</w:t>
      </w:r>
    </w:p>
    <w:p>
      <w:r>
        <w:t xml:space="preserve">(c) Normal immune response equivalent to common cold</w:t>
      </w:r>
    </w:p>
    <w:p>
      <w:r>
        <w:t xml:space="preserve">(d) Cytokine depletion leading to immunosuppression</w:t>
      </w:r>
    </w:p>
    <w:p>
      <w:r>
        <w:t xml:space="preserve">Answer: a</w:t>
      </w:r>
    </w:p>
    <w:p>
      <w:r>
        <w:t xml:space="preserve">Solution: Cytokine storm represents excessive host inflammatory response disproportionate to viral load, mediated by IL-6, TNF-alpha, IL-1, contributing to ARDS, disseminated intravascular coagulation, and multi-organ failure. Paradoxically, severely immunocompromised patients sometimes have better outcomes due to limited cytokine production. This explains why immunomodulatory therapies (dexamethasone, tocilizumab) benefit severe COVID-19. The 'second wave' of mortality reflects cytokine storm rather than viral replication.</w:t>
      </w:r>
    </w:p>
    <w:p>
      <w:r>
        <w:t xml:space="preserve">Positive Marks: 1</w:t>
      </w:r>
    </w:p>
    <w:p>
      <w:r>
        <w:t xml:space="preserve">Negative Marks: 0.33</w:t>
      </w:r>
    </w:p>
    <w:p/>
    <w:p>
      <w:r>
        <w:rPr>
          <w:b/>
        </w:rPr>
        <w:t xml:space="preserve">Question: Which molecular feature of the SARS-CoV-2 spike protein is MOST RELEVANT to viral pathogenesis and vaccine design?</w:t>
      </w:r>
    </w:p>
    <w:p>
      <w:r>
        <w:t xml:space="preserve">(a) S1 subunit contains receptor-binding domain (RBD) that binds ACE2 receptors, determining infectivity</w:t>
      </w:r>
    </w:p>
    <w:p>
      <w:r>
        <w:t xml:space="preserve">(b) Nucleocapsid protein determines virulence exclusively</w:t>
      </w:r>
    </w:p>
    <w:p>
      <w:r>
        <w:t xml:space="preserve">(c) M protein is the primary immunogenic target</w:t>
      </w:r>
    </w:p>
    <w:p>
      <w:r>
        <w:t xml:space="preserve">(d) N protein directly inhibits interferon response</w:t>
      </w:r>
    </w:p>
    <w:p>
      <w:r>
        <w:t xml:space="preserve">Answer: a</w:t>
      </w:r>
    </w:p>
    <w:p>
      <w:r>
        <w:t xml:space="preserve">Solution: The spike protein's S1 subunit contains the RBD that binds human ACE2 receptors, determining tropism and infectivity. Most neutralizing antibodies target the RBD, making it the primary vaccine antigen in mRNA vaccines. Viral variants' transmissibility changes correlate with RBD mutations. The nucleocapsid protein contributes to virulence but isn't the primary pathogenic determinant. The RBD-ACE2 interaction is central to understanding COVID-19 pathogenesis and vaccine efficacy.</w:t>
      </w:r>
    </w:p>
    <w:p>
      <w:r>
        <w:t xml:space="preserve">Positive Marks: 1</w:t>
      </w:r>
    </w:p>
    <w:p>
      <w:r>
        <w:t xml:space="preserve">Negative Marks: 0.33</w:t>
      </w:r>
    </w:p>
    <w:p/>
    <w:p>
      <w:r>
        <w:rPr>
          <w:b/>
        </w:rPr>
        <w:t xml:space="preserve">Question: What is the clinical significance of elevated D-dimer and fibrinogen levels in severe COVID-19?</w:t>
      </w:r>
    </w:p>
    <w:p>
      <w:r>
        <w:t xml:space="preserve">(a) Indicates hypercoagulable state predisposing to thromboembolism (PE, DVT, DIC)—necessitating anticoagulation</w:t>
      </w:r>
    </w:p>
    <w:p>
      <w:r>
        <w:t xml:space="preserve">(b) Indicates the patient will definitely recover</w:t>
      </w:r>
    </w:p>
    <w:p>
      <w:r>
        <w:t xml:space="preserve">(c) Shows the virus has been completely cleared</w:t>
      </w:r>
    </w:p>
    <w:p>
      <w:r>
        <w:t xml:space="preserve">(d) Indicates improved lung function</w:t>
      </w:r>
    </w:p>
    <w:p>
      <w:r>
        <w:t xml:space="preserve">Answer: a</w:t>
      </w:r>
    </w:p>
    <w:p>
      <w:r>
        <w:t xml:space="preserve">Solution: Markedly elevated D-dimer (&gt;1.5 µg/mL) in severe COVID-19 reflects excessive thrombin generation and fibrinolysis, indicating prothrombotic state with increased risk of pulmonary embolism, deep venous thrombosis, and disseminated intravascular coagulation. COVID-19 causes direct endothelial injury, platelet activation, and tissue factor release creating hypercoagulability. Prophylactic or therapeutic anticoagulation reduces ICU mortality. Elevated D-dimer independently predicts poor prognosis—a key pathophysiological difference from influenza.</w:t>
      </w:r>
    </w:p>
    <w:p>
      <w:r>
        <w:t xml:space="preserve">Positive Marks: 1</w:t>
      </w:r>
    </w:p>
    <w:p>
      <w:r>
        <w:t xml:space="preserve">Negative Marks: 0.33</w:t>
      </w:r>
    </w:p>
    <w:p/>
    <w:p>
      <w:r>
        <w:rPr>
          <w:b/>
        </w:rPr>
        <w:t xml:space="preserve">Question: Which classification BEST describes influenza and COVID-19 viruses in terms of nucleic acid composition and envelope status?</w:t>
      </w:r>
    </w:p>
    <w:p>
      <w:r>
        <w:t xml:space="preserve">(a) Both are enveloped, negative-sense single-stranded RNA (-ssRNA) viruses</w:t>
      </w:r>
    </w:p>
    <w:p>
      <w:r>
        <w:t xml:space="preserve">(b) Influenza is DNA virus; COVID-19 is RNA virus</w:t>
      </w:r>
    </w:p>
    <w:p>
      <w:r>
        <w:t xml:space="preserve">(c) Both are non-enveloped DNA viruses</w:t>
      </w:r>
    </w:p>
    <w:p>
      <w:r>
        <w:t xml:space="preserve">(d) Influenza is RNA virus; COVID-19 is retrocoronavirus</w:t>
      </w:r>
    </w:p>
    <w:p>
      <w:r>
        <w:t xml:space="preserve">Answer: a</w:t>
      </w:r>
    </w:p>
    <w:p>
      <w:r>
        <w:t xml:space="preserve">Solution: Both influenza (Orthomyxovirus) and SARS-CoV-2 (Coronavirus) are enveloped, negative-sense single-stranded RNA (-ssRNA) viruses. The lipid envelope renders both sensitive to disinfectants, drying, and environmental conditions—explaining efficacy of hand hygiene and surface disinfection. Influenza has segmented genome (8 segments); SARS-CoV-2 has non-segmented genome—a structural difference. Both possess envelope glycoproteins recognized by immune system. This classification explains similar transmission routes and environmental stability.</w:t>
      </w:r>
    </w:p>
    <w:p>
      <w:r>
        <w:t xml:space="preserve">Positive Marks: 1</w:t>
      </w:r>
    </w:p>
    <w:p>
      <w:r>
        <w:t xml:space="preserve">Negative Marks: 0.33</w:t>
      </w:r>
    </w:p>
    <w:p/>
    <w:p>
      <w:r>
        <w:rPr>
          <w:b/>
        </w:rPr>
        <w:t xml:space="preserve">Question: What is the PRIMARY role of ACE2 receptor in SARS-CoV-2 pathogenesis and tissue tropism?</w:t>
      </w:r>
    </w:p>
    <w:p>
      <w:r>
        <w:t xml:space="preserve">(a) ACE2 serves as primary cellular receptor for spike protein binding and viral entry into respiratory epithelium, endothelium, GI tract, and kidneys</w:t>
      </w:r>
    </w:p>
    <w:p>
      <w:r>
        <w:t xml:space="preserve">(b) ACE2 produces antibodies that neutralize the virus</w:t>
      </w:r>
    </w:p>
    <w:p>
      <w:r>
        <w:t xml:space="preserve">(c) ACE2 stimulates interferon-beta production</w:t>
      </w:r>
    </w:p>
    <w:p>
      <w:r>
        <w:t xml:space="preserve">(d) ACE2 directly activates CD8+ T cell response</w:t>
      </w:r>
    </w:p>
    <w:p>
      <w:r>
        <w:t xml:space="preserve">Answer: a</w:t>
      </w:r>
    </w:p>
    <w:p>
      <w:r>
        <w:t xml:space="preserve">Solution: The spike protein's RBD binds ACE2 receptors (a zinc-metallopeptidase in the renin-angiotensin system) for viral cell entry. ACE2 expression patterns explain COVID-19 tropism: high in respiratory epithelium (primary), vascular endothelium (causing thrombosis), small intestine (explaining GI symptoms and fecal shedding), and kidneys (acute kidney injury). ACE2 downregulation by spike protein contributes to pathology. This receptor-mediated entry mechanism explains variable clinical outcomes across patient populations.</w:t>
      </w:r>
    </w:p>
    <w:p>
      <w:r>
        <w:t xml:space="preserve">Positive Marks: 1</w:t>
      </w:r>
    </w:p>
    <w:p>
      <w:r>
        <w:t xml:space="preserve">Negative Marks: 0.33</w:t>
      </w:r>
    </w:p>
    <w:sectPr>
      <w:pgSz w:w="11906" w:h="16838"/>
      <w:pgMar w:top="1134" w:right="1134" w:bottom="1134" w:left="1134"/>
    </w:sectPr>
  </w:body>
</w:document>
</file>