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antimicrobial resistance?</w:t>
      </w:r>
    </w:p>
    <w:p>
      <w:r>
        <w:t xml:space="preserve">(a) The ability of microorganisms to survive and multiply in the presence of antimicrobial agents</w:t>
      </w:r>
    </w:p>
    <w:p>
      <w:r>
        <w:t xml:space="preserve">(b) The loss of antimicrobial efficacy due to improper drug storage</w:t>
      </w:r>
    </w:p>
    <w:p>
      <w:r>
        <w:t xml:space="preserve">(c) The development of allergic reactions to antibiotics</w:t>
      </w:r>
    </w:p>
    <w:p>
      <w:r>
        <w:t xml:space="preserve">(d) The physical barrier preventing antibiotic penetration into tissues</w:t>
      </w:r>
    </w:p>
    <w:p>
      <w:r>
        <w:t xml:space="preserve">Answer: a</w:t>
      </w:r>
    </w:p>
    <w:p>
      <w:r>
        <w:t xml:space="preserve">Solution: Antimicrobial resistance is the inherent or acquired ability of microorganisms to withstand the inhibitory or bactericidal effects of antimicrobial agents. Option b refers to drug degradation, c to hypersensitivity, and d to pharmacokinetic factors. The standard definition focuses on the organism's biological adaptation or resistance mechanisms.</w:t>
      </w:r>
    </w:p>
    <w:p>
      <w:r>
        <w:t xml:space="preserve">Positive Marks: 1</w:t>
      </w:r>
    </w:p>
    <w:p>
      <w:r>
        <w:t xml:space="preserve">Negative Marks: 0.33</w:t>
      </w:r>
    </w:p>
    <w:p/>
    <w:p>
      <w:r>
        <w:rPr>
          <w:b/>
        </w:rPr>
        <w:t xml:space="preserve">Question: Resistance in bacteria can be acquired through all of the following mechanisms EXCEPT:</w:t>
      </w:r>
    </w:p>
    <w:p>
      <w:r>
        <w:t xml:space="preserve">(a) Horizontal gene transfer via plasmids</w:t>
      </w:r>
    </w:p>
    <w:p>
      <w:r>
        <w:t xml:space="preserve">(b) Spontaneous chromosomal mutations</w:t>
      </w:r>
    </w:p>
    <w:p>
      <w:r>
        <w:t xml:space="preserve">(c) Vertical gene transfer from parent to daughter cells</w:t>
      </w:r>
    </w:p>
    <w:p>
      <w:r>
        <w:t xml:space="preserve">(d) Direct absorption of antibiotics from the bloodstream</w:t>
      </w:r>
    </w:p>
    <w:p>
      <w:r>
        <w:t xml:space="preserve">Answer: d</w:t>
      </w:r>
    </w:p>
    <w:p>
      <w:r>
        <w:t xml:space="preserve">Solution: The three main mechanisms of acquired resistance are: horizontal transfer (plasmids, conjugation, transformation), chromosomal mutations, and vertical/hereditary transmission. Option d describes antibiotic pharmacokinetics, not a resistance mechanism. Direct absorption is how antibiotics enter, not how resistance develops.</w:t>
      </w:r>
    </w:p>
    <w:p>
      <w:r>
        <w:t xml:space="preserve">Positive Marks: 1</w:t>
      </w:r>
    </w:p>
    <w:p>
      <w:r>
        <w:t xml:space="preserve">Negative Marks: 0.33</w:t>
      </w:r>
    </w:p>
    <w:p/>
    <w:p>
      <w:r>
        <w:rPr>
          <w:b/>
        </w:rPr>
        <w:t xml:space="preserve">Question: Antimicrobial stewardship is best defined as:</w:t>
      </w:r>
    </w:p>
    <w:p>
      <w:r>
        <w:t xml:space="preserve">(a) A program to prevent unnecessary antibiotic use and optimize patient outcomes</w:t>
      </w:r>
    </w:p>
    <w:p>
      <w:r>
        <w:t xml:space="preserve">(b) The complete elimination of all antibiotic prescriptions in hospitals</w:t>
      </w:r>
    </w:p>
    <w:p>
      <w:r>
        <w:t xml:space="preserve">(c) The use of the most expensive antibiotics for all infections</w:t>
      </w:r>
    </w:p>
    <w:p>
      <w:r>
        <w:t xml:space="preserve">(d) The restriction of antibiotics to only hospitalized patients</w:t>
      </w:r>
    </w:p>
    <w:p>
      <w:r>
        <w:t xml:space="preserve">Answer: a</w:t>
      </w:r>
    </w:p>
    <w:p>
      <w:r>
        <w:t xml:space="preserve">Solution: Stewardship programs aim to optimize antibiotic use—selecting the right drug, dose, duration, and route to maximize efficacy while minimizing resistance, toxicity, and cost. Option b is unrealistic; c is inefficient; d is too narrow. Stewardship balances access and restriction intelligently.</w:t>
      </w:r>
    </w:p>
    <w:p>
      <w:r>
        <w:t xml:space="preserve">Positive Marks: 1</w:t>
      </w:r>
    </w:p>
    <w:p>
      <w:r>
        <w:t xml:space="preserve">Negative Marks: 0.33</w:t>
      </w:r>
    </w:p>
    <w:p/>
    <w:p>
      <w:r>
        <w:rPr>
          <w:b/>
        </w:rPr>
        <w:t xml:space="preserve">Question: A patient is diagnosed with a multidrug-resistant (MDR) organism. This means the pathogen is resistant to:</w:t>
      </w:r>
    </w:p>
    <w:p>
      <w:r>
        <w:t xml:space="preserve">(a) At least three different classes of antibiotics</w:t>
      </w:r>
    </w:p>
    <w:p>
      <w:r>
        <w:t xml:space="preserve">(b) All known antibiotics</w:t>
      </w:r>
    </w:p>
    <w:p>
      <w:r>
        <w:t xml:space="preserve">(c) Only oral antibiotics</w:t>
      </w:r>
    </w:p>
    <w:p>
      <w:r>
        <w:t xml:space="preserve">(d) Antibiotics belonging to the penicillin family only</w:t>
      </w:r>
    </w:p>
    <w:p>
      <w:r>
        <w:t xml:space="preserve">Answer: a</w:t>
      </w:r>
    </w:p>
    <w:p>
      <w:r>
        <w:t xml:space="preserve">Solution: MDR is defined as resistance to at least 3 different antimicrobial classes (e.g., beta-lactams, fluoroquinolones, macrolides). Option b describes 'pan-resistant' organisms (rare); c omits parenteral drugs; d is too narrow. This definition is crucial for epidemiological surveillance and clinical decision-making.</w:t>
      </w:r>
    </w:p>
    <w:p>
      <w:r>
        <w:t xml:space="preserve">Positive Marks: 1</w:t>
      </w:r>
    </w:p>
    <w:p>
      <w:r>
        <w:t xml:space="preserve">Negative Marks: 0.33</w:t>
      </w:r>
    </w:p>
    <w:p/>
    <w:p>
      <w:r>
        <w:rPr>
          <w:b/>
        </w:rPr>
        <w:t xml:space="preserve">Question: Extended-spectrum beta-lactamase (ESBL)-producing organisms are best described as bacteria that:</w:t>
      </w:r>
    </w:p>
    <w:p>
      <w:r>
        <w:t xml:space="preserve">(a) Produce enzymes capable of hydrolyzing third-generation cephalosporins and beta-lactam/beta-lactamase inhibitor combinations</w:t>
      </w:r>
    </w:p>
    <w:p>
      <w:r>
        <w:t xml:space="preserve">(b) Are resistant only to first-generation cephalosporins</w:t>
      </w:r>
    </w:p>
    <w:p>
      <w:r>
        <w:t xml:space="preserve">(c) Produce enzymes that prevent antibiotic absorption into the cell</w:t>
      </w:r>
    </w:p>
    <w:p>
      <w:r>
        <w:t xml:space="preserve">(d) Are susceptible to all beta-lactam antibiotics</w:t>
      </w:r>
    </w:p>
    <w:p>
      <w:r>
        <w:t xml:space="preserve">Answer: a</w:t>
      </w:r>
    </w:p>
    <w:p>
      <w:r>
        <w:t xml:space="preserve">Solution: ESBLs are enzymes that break down third-generation cephalosporins (ceftriaxone, ceftazidime) and some beta-lactam inhibitor combinations (amoxicillin-clavulanate), but NOT carbapenems. Option b is false (ESBLs affect 3rd gen); c describes a different mechanism (efflux pumps); d contradicts the definition. ESBL detection is critical for guiding empiric therapy.</w:t>
      </w:r>
    </w:p>
    <w:p>
      <w:r>
        <w:t xml:space="preserve">Positive Marks: 1</w:t>
      </w:r>
    </w:p>
    <w:p>
      <w:r>
        <w:t xml:space="preserve">Negative Marks: 0.33</w:t>
      </w:r>
    </w:p>
    <w:p/>
    <w:p>
      <w:r>
        <w:rPr>
          <w:b/>
        </w:rPr>
        <w:t xml:space="preserve">Question: In a hospital setting, which of the following is the MOST effective single intervention to reduce MRSA transmission?</w:t>
      </w:r>
    </w:p>
    <w:p>
      <w:r>
        <w:t xml:space="preserve">(a) Hand hygiene compliance exceeding 80%</w:t>
      </w:r>
    </w:p>
    <w:p>
      <w:r>
        <w:t xml:space="preserve">(b) Prescribing vancomycin for all respiratory infections</w:t>
      </w:r>
    </w:p>
    <w:p>
      <w:r>
        <w:t xml:space="preserve">(c) Routine screening of all admitted patients</w:t>
      </w:r>
    </w:p>
    <w:p>
      <w:r>
        <w:t xml:space="preserve">(d) Environmental surface disinfection alone</w:t>
      </w:r>
    </w:p>
    <w:p>
      <w:r>
        <w:t xml:space="preserve">Answer: a</w:t>
      </w:r>
    </w:p>
    <w:p>
      <w:r>
        <w:t xml:space="preserve">Solution: Hand hygiene is the cornerstone of infection prevention and is most effective at reducing MRSA transmission, as MRSA is primarily spread via contaminated hands and surfaces. Option b is inappropriate prescribing; c alone has limited impact without follow-up isolation; d without hand hygiene is insufficient. WHO and CDC guidelines prioritize hand hygiene as step 1.</w:t>
      </w:r>
    </w:p>
    <w:p>
      <w:r>
        <w:t xml:space="preserve">Positive Marks: 1</w:t>
      </w:r>
    </w:p>
    <w:p>
      <w:r>
        <w:t xml:space="preserve">Negative Marks: 0.33</w:t>
      </w:r>
    </w:p>
    <w:p/>
    <w:p>
      <w:r>
        <w:rPr>
          <w:b/>
        </w:rPr>
        <w:t xml:space="preserve">Question: Which bundle of interventions best represents a comprehensive antimicrobial stewardship program?</w:t>
      </w:r>
    </w:p>
    <w:p>
      <w:r>
        <w:t xml:space="preserve">(a) Prospective audit with feedback, infection prevention, education, and de-escalation protocols</w:t>
      </w:r>
    </w:p>
    <w:p>
      <w:r>
        <w:t xml:space="preserve">(b) Mandatory use of broad-spectrum antibiotics in all cases</w:t>
      </w:r>
    </w:p>
    <w:p>
      <w:r>
        <w:t xml:space="preserve">(c) Screening for resistance followed by dose escalation</w:t>
      </w:r>
    </w:p>
    <w:p>
      <w:r>
        <w:t xml:space="preserve">(d) Restricting antibiotics to infectious disease specialists only</w:t>
      </w:r>
    </w:p>
    <w:p>
      <w:r>
        <w:t xml:space="preserve">Answer: a</w:t>
      </w:r>
    </w:p>
    <w:p>
      <w:r>
        <w:t xml:space="preserve">Solution: A comprehensive stewardship bundle includes prospective audit with feedback, infection prevention measures, healthcare worker education, antimicrobial rotation, de-escalation protocols, and restricted empiric therapy. Option b promotes resistance; c is ineffective; d limits appropriate antibiotic access. This multi-faceted approach is evidence-based per IDSA and CDC guidelines.</w:t>
      </w:r>
    </w:p>
    <w:p>
      <w:r>
        <w:t xml:space="preserve">Positive Marks: 1</w:t>
      </w:r>
    </w:p>
    <w:p>
      <w:r>
        <w:t xml:space="preserve">Negative Marks: 0.33</w:t>
      </w:r>
    </w:p>
    <w:p/>
    <w:p>
      <w:r>
        <w:rPr>
          <w:b/>
        </w:rPr>
        <w:t xml:space="preserve">Question: Culture and sensitivity (C&amp;S) testing of bacterial isolates is primarily used to:</w:t>
      </w:r>
    </w:p>
    <w:p>
      <w:r>
        <w:t xml:space="preserve">(a) Guide targeted antibiotic therapy and detect resistance patterns in specific isolates</w:t>
      </w:r>
    </w:p>
    <w:p>
      <w:r>
        <w:t xml:space="preserve">(b) Predict the speed of bacterial killing in vitro</w:t>
      </w:r>
    </w:p>
    <w:p>
      <w:r>
        <w:t xml:space="preserve">(c) Determine the cost of antibiotics for the patient</w:t>
      </w:r>
    </w:p>
    <w:p>
      <w:r>
        <w:t xml:space="preserve">(d) Confirm the genus and species of the organism</w:t>
      </w:r>
    </w:p>
    <w:p>
      <w:r>
        <w:t xml:space="preserve">Answer: a</w:t>
      </w:r>
    </w:p>
    <w:p>
      <w:r>
        <w:t xml:space="preserve">Solution: C&amp;S testing identifies which antibiotics will be effective against a specific isolate, enabling targeted therapy and reducing resistance. Option b relates to pharmacodynamics (not the primary purpose); c is irrelevant; d is done via identification testing, not susceptibility testing. This guides rational antibiotic selection and reduces unnecessary broad-spectrum use.</w:t>
      </w:r>
    </w:p>
    <w:p>
      <w:r>
        <w:t xml:space="preserve">Positive Marks: 1</w:t>
      </w:r>
    </w:p>
    <w:p>
      <w:r>
        <w:t xml:space="preserve">Negative Marks: 0.33</w:t>
      </w:r>
    </w:p>
    <w:p/>
    <w:p>
      <w:r>
        <w:rPr>
          <w:b/>
        </w:rPr>
        <w:t xml:space="preserve">Question: Which principle of prudent antibiotic prescribing best prevents unnecessary resistance development?</w:t>
      </w:r>
    </w:p>
    <w:p>
      <w:r>
        <w:t xml:space="preserve">(a) Use the narrowest-spectrum agent effective against the identified pathogen for the shortest duration</w:t>
      </w:r>
    </w:p>
    <w:p>
      <w:r>
        <w:t xml:space="preserve">(b) Always start with the broadest-spectrum antibiotic available</w:t>
      </w:r>
    </w:p>
    <w:p>
      <w:r>
        <w:t xml:space="preserve">(c) Prescribe antibiotics prophylactically to all febrile patients</w:t>
      </w:r>
    </w:p>
    <w:p>
      <w:r>
        <w:t xml:space="preserve">(d) Continue antibiotics indefinitely to prevent recurrence</w:t>
      </w:r>
    </w:p>
    <w:p>
      <w:r>
        <w:t xml:space="preserve">Answer: a</w:t>
      </w:r>
    </w:p>
    <w:p>
      <w:r>
        <w:t xml:space="preserve">Solution: Prudent prescribing mandates using the narrowest-spectrum, most effective antibiotic for the minimum necessary duration. This limits exposure of normal flora to unnecessary antibiotics, reducing resistance selection pressure. Option b causes excessive resistance; c is prophylaxis without indication; d wastes resources and promotes resistance. This is fundamental to stewardship.</w:t>
      </w:r>
    </w:p>
    <w:p>
      <w:r>
        <w:t xml:space="preserve">Positive Marks: 1</w:t>
      </w:r>
    </w:p>
    <w:p>
      <w:r>
        <w:t xml:space="preserve">Negative Marks: 0.33</w:t>
      </w:r>
    </w:p>
    <w:p/>
    <w:p>
      <w:r>
        <w:rPr>
          <w:b/>
        </w:rPr>
        <w:t xml:space="preserve">Question: Carbapenem-resistant Enterobacteriaceae (CRE) represent a major clinical and public health threat primarily because:</w:t>
      </w:r>
    </w:p>
    <w:p>
      <w:r>
        <w:t xml:space="preserve">(a) They are resistant to carbapenems (drugs of last resort) and have severely limited treatment options</w:t>
      </w:r>
    </w:p>
    <w:p>
      <w:r>
        <w:t xml:space="preserve">(b) They are universally susceptible to all aminoglycosides</w:t>
      </w:r>
    </w:p>
    <w:p>
      <w:r>
        <w:t xml:space="preserve">(c) They only affect immunocompromised patients with no nosocomial spread</w:t>
      </w:r>
    </w:p>
    <w:p>
      <w:r>
        <w:t xml:space="preserve">(d) They are easily treated with first-generation cephalosporins</w:t>
      </w:r>
    </w:p>
    <w:p>
      <w:r>
        <w:t xml:space="preserve">Answer: a</w:t>
      </w:r>
    </w:p>
    <w:p>
      <w:r>
        <w:t xml:space="preserve">Solution: CRE produce carbapenemases that destroy carbapenem antibiotics, which are typically reserved as last-line agents. When carbapenems fail, therapeutic options are drastically limited to drugs like colistin and tigecycline with significant toxicity. This makes CRE a serious public health threat with high mortality. Options b, c, and d are factually incorrect regarding CRE characteristics and treatment.</w:t>
      </w:r>
    </w:p>
    <w:p>
      <w:r>
        <w:t xml:space="preserve">Positive Marks: 1</w:t>
      </w:r>
    </w:p>
    <w:p>
      <w:r>
        <w:t xml:space="preserve">Negative Marks: 0.33</w:t>
      </w:r>
    </w:p>
    <w:p/>
    <w:p>
      <w:r>
        <w:rPr>
          <w:b/>
        </w:rPr>
        <w:t xml:space="preserve">Question: Vancomycin-resistant Enterococci (VRE) are particularly concerning in hospital settings because they:</w:t>
      </w:r>
    </w:p>
    <w:p>
      <w:r>
        <w:t xml:space="preserve">(a) Are easily transmitted between patients and difficult to treat due to intrinsic/acquired vancomycin resistance</w:t>
      </w:r>
    </w:p>
    <w:p>
      <w:r>
        <w:t xml:space="preserve">(b) Only infect the gastrointestinal tract with no systemic complications</w:t>
      </w:r>
    </w:p>
    <w:p>
      <w:r>
        <w:t xml:space="preserve">(c) Are universally susceptible to beta-lactam antibiotics</w:t>
      </w:r>
    </w:p>
    <w:p>
      <w:r>
        <w:t xml:space="preserve">(d) Cannot survive on environmental surfaces outside the human host</w:t>
      </w:r>
    </w:p>
    <w:p>
      <w:r>
        <w:t xml:space="preserve">Answer: a</w:t>
      </w:r>
    </w:p>
    <w:p>
      <w:r>
        <w:t xml:space="preserve">Solution: VRE can cause serious nosocomial infections, spread via contaminated surfaces and hands, and possess van genes conferring vancomycin resistance. This significantly limits therapeutic options and increases morbidity and mortality. Option b is false (can cause bacteremia and sepsis); c is false (are resistant); d is false (survive on surfaces). VRE control requires strict infection prevention.</w:t>
      </w:r>
    </w:p>
    <w:p>
      <w:r>
        <w:t xml:space="preserve">Positive Marks: 1</w:t>
      </w:r>
    </w:p>
    <w:p>
      <w:r>
        <w:t xml:space="preserve">Negative Marks: 0.33</w:t>
      </w:r>
    </w:p>
    <w:p/>
    <w:p>
      <w:r>
        <w:rPr>
          <w:b/>
        </w:rPr>
        <w:t xml:space="preserve">Question: Beta-lactamase inhibitors (such as clavulanic acid) work primarily by:</w:t>
      </w:r>
    </w:p>
    <w:p>
      <w:r>
        <w:t xml:space="preserve">(a) Binding to and irreversibly inhibiting beta-lactamase enzymes, restoring beta-lactam efficacy</w:t>
      </w:r>
    </w:p>
    <w:p>
      <w:r>
        <w:t xml:space="preserve">(b) Directly killing bacteria through cell wall disruption</w:t>
      </w:r>
    </w:p>
    <w:p>
      <w:r>
        <w:t xml:space="preserve">(c) Inhibiting bacterial protein synthesis at the ribosome</w:t>
      </w:r>
    </w:p>
    <w:p>
      <w:r>
        <w:t xml:space="preserve">(d) Increasing antibiotic concentration in infected tissues</w:t>
      </w:r>
    </w:p>
    <w:p>
      <w:r>
        <w:t xml:space="preserve">Answer: a</w:t>
      </w:r>
    </w:p>
    <w:p>
      <w:r>
        <w:t xml:space="preserve">Solution: Beta-lactamase inhibitors are suicide substrates that bind to and inactivate beta-lactamase enzymes, preventing antibiotic degradation and 'protecting' the beta-lactam antibiotic. Option b is the beta-lactam's action, not the inhibitor's; c is an unrelated mechanism; d describes pharmacokinetics. Classic example: amoxicillin-clavulanate (Augmentin).</w:t>
      </w:r>
    </w:p>
    <w:p>
      <w:r>
        <w:t xml:space="preserve">Positive Marks: 1</w:t>
      </w:r>
    </w:p>
    <w:p>
      <w:r>
        <w:t xml:space="preserve">Negative Marks: 0.33</w:t>
      </w:r>
    </w:p>
    <w:p/>
    <w:p>
      <w:r>
        <w:rPr>
          <w:b/>
        </w:rPr>
        <w:t xml:space="preserve">Question: De-escalation therapy in antimicrobial stewardship refers to:</w:t>
      </w:r>
    </w:p>
    <w:p>
      <w:r>
        <w:t xml:space="preserve">(a) Switching from broad-spectrum to narrow-spectrum antibiotics once the causative pathogen and susceptibilities are identified</w:t>
      </w:r>
    </w:p>
    <w:p>
      <w:r>
        <w:t xml:space="preserve">(b) Discontinuing all antibiotics immediately after initial diagnosis</w:t>
      </w:r>
    </w:p>
    <w:p>
      <w:r>
        <w:t xml:space="preserve">(c) Increasing the antibiotic dose when culture results become available</w:t>
      </w:r>
    </w:p>
    <w:p>
      <w:r>
        <w:t xml:space="preserve">(d) Rotating antibiotics every 48 hours regardless of clinical response</w:t>
      </w:r>
    </w:p>
    <w:p>
      <w:r>
        <w:t xml:space="preserve">Answer: a</w:t>
      </w:r>
    </w:p>
    <w:p>
      <w:r>
        <w:t xml:space="preserve">Solution: De-escalation is a key stewardship strategy: start broad empirically for safety, then narrow based on culture and susceptibility results. This reduces selective pressure for resistance and decreases toxicity and cost. Option b abandons effective therapy; c increases toxicity; d is counterproductive without clinical indication. De-escalation improves outcomes while limiting resistance.</w:t>
      </w:r>
    </w:p>
    <w:p>
      <w:r>
        <w:t xml:space="preserve">Positive Marks: 1</w:t>
      </w:r>
    </w:p>
    <w:p>
      <w:r>
        <w:t xml:space="preserve">Negative Marks: 0.33</w:t>
      </w:r>
    </w:p>
    <w:p/>
    <w:p>
      <w:r>
        <w:rPr>
          <w:b/>
        </w:rPr>
        <w:t xml:space="preserve">Question: A patient receiving fluoroquinolones for uncomplicated urinary tract infection subsequently develops Clostridioides difficile colitis. This complication illustrates:</w:t>
      </w:r>
    </w:p>
    <w:p>
      <w:r>
        <w:t xml:space="preserve">(a) Disruption of normal microbiota and opportunistic infection risk due to broad antibiotic spectrum</w:t>
      </w:r>
    </w:p>
    <w:p>
      <w:r>
        <w:t xml:space="preserve">(b) Fluoroquinolone hypersensitivity reaction requiring immediate discontinuation</w:t>
      </w:r>
    </w:p>
    <w:p>
      <w:r>
        <w:t xml:space="preserve">(c) Acute antibiotic nephrotoxicity requiring dialysis support</w:t>
      </w:r>
    </w:p>
    <w:p>
      <w:r>
        <w:t xml:space="preserve">(d) Direct fluoroquinolone-induced pseudomembranous colitis unrelated to dysbiosis</w:t>
      </w:r>
    </w:p>
    <w:p>
      <w:r>
        <w:t xml:space="preserve">Answer: a</w:t>
      </w:r>
    </w:p>
    <w:p>
      <w:r>
        <w:t xml:space="preserve">Solution: Fluoroquinolones, though effective for UTIs, have broad spectrum affecting normal flora. This dysbiosis predisposes to Clostridioides difficile overgrowth and colitis, a well-recognized adverse effect. Option b is hypersensitivity (different pathophysiology); c is renal toxicity (not typical for fluoroquinolones); d denies the critical role of dysbiosis. This highlights collateral damage of broad-spectrum therapy.</w:t>
      </w:r>
    </w:p>
    <w:p>
      <w:r>
        <w:t xml:space="preserve">Positive Marks: 1</w:t>
      </w:r>
    </w:p>
    <w:p>
      <w:r>
        <w:t xml:space="preserve">Negative Marks: 0.33</w:t>
      </w:r>
    </w:p>
    <w:p/>
    <w:p>
      <w:r>
        <w:rPr>
          <w:b/>
        </w:rPr>
        <w:t xml:space="preserve">Question: Regarding pharmacodynamics of antimicrobials, which principle is most relevant to reducing resistance selection?</w:t>
      </w:r>
    </w:p>
    <w:p>
      <w:r>
        <w:t xml:space="preserve">(a) Achieving adequate drug concentration above the MIC for appropriate duration to maximize bacterial killing and minimize resistant-subpopulation emergence</w:t>
      </w:r>
    </w:p>
    <w:p>
      <w:r>
        <w:t xml:space="preserve">(b) Using the lowest possible dose to reduce side effects regardless of pathogen susceptibility</w:t>
      </w:r>
    </w:p>
    <w:p>
      <w:r>
        <w:t xml:space="preserve">(c) Maintaining constant antibiotic levels in the bloodstream indefinitely</w:t>
      </w:r>
    </w:p>
    <w:p>
      <w:r>
        <w:t xml:space="preserve">(d) Alternating different antibiotics every 24 hours to prevent bacterial adaptation</w:t>
      </w:r>
    </w:p>
    <w:p>
      <w:r>
        <w:t xml:space="preserve">Answer: a</w:t>
      </w:r>
    </w:p>
    <w:p>
      <w:r>
        <w:t xml:space="preserve">Solution: Optimal pharmacodynamics (time-dependent vs concentration-dependent killing) ensures rapid and complete bacterial eradication. Subtherapeutic dosing favors resistance selection; excessive constant levels waste drug; arbitrary rotation is unnecessary. Proper dosing regimens ensure rapid killing, leaving fewer opportunities for resistant mutants to emerge. This is fundamental to stewardship.</w:t>
      </w:r>
    </w:p>
    <w:p>
      <w:r>
        <w:t xml:space="preserve">Positive Marks: 1</w:t>
      </w:r>
    </w:p>
    <w:p>
      <w:r>
        <w:t xml:space="preserve">Negative Marks: 0.33</w:t>
      </w:r>
    </w:p>
    <w:p/>
    <w:p>
      <w:r>
        <w:rPr>
          <w:b/>
        </w:rPr>
        <w:t xml:space="preserve">Question: A hospitalized patient with wound infection has an organism showing resistance via genotypic analysis but remaining phenotypically susceptible on in vitro susceptibility testing. What does this discordance indicate?</w:t>
      </w:r>
    </w:p>
    <w:p>
      <w:r>
        <w:t xml:space="preserve">(a) The resistance gene is present but not expressed; phenotypic expression may occur with continued exposure, requiring close monitoring</w:t>
      </w:r>
    </w:p>
    <w:p>
      <w:r>
        <w:t xml:space="preserve">(b) The organism is completely susceptible and genotypic resistance is irrelevant clinically</w:t>
      </w:r>
    </w:p>
    <w:p>
      <w:r>
        <w:t xml:space="preserve">(c) Genotypic testing is unreliable and should not be used for clinical decision-making</w:t>
      </w:r>
    </w:p>
    <w:p>
      <w:r>
        <w:t xml:space="preserve">(d) The patient cannot be treated with any antibiotic from that class</w:t>
      </w:r>
    </w:p>
    <w:p>
      <w:r>
        <w:t xml:space="preserve">Answer: a</w:t>
      </w:r>
    </w:p>
    <w:p>
      <w:r>
        <w:t xml:space="preserve">Solution: Genotype (genetic potential for resistance) does not always correlate with phenotype (clinical expression). An organism may carry resistance genes but not express them under current conditions. This discordance requires clinical vigilance—phenotypic susceptibility guides initial therapy, but genotypic resistance warrants careful monitoring for phenotypic shift. Options b, c, d misinterpret this important distinction in resistance testing.</w:t>
      </w:r>
    </w:p>
    <w:p>
      <w:r>
        <w:t xml:space="preserve">Positive Marks: 1</w:t>
      </w:r>
    </w:p>
    <w:p>
      <w:r>
        <w:t xml:space="preserve">Negative Marks: 0.33</w:t>
      </w:r>
    </w:p>
    <w:p/>
    <w:p>
      <w:r>
        <w:rPr>
          <w:b/>
        </w:rPr>
        <w:t xml:space="preserve">Question: In managing sepsis with antimicrobial stewardship, which approach best balances immediate patient safety with resistance prevention?</w:t>
      </w:r>
    </w:p>
    <w:p>
      <w:r>
        <w:t xml:space="preserve">(a) Broad-spectrum empiric therapy initially, followed by rapid culture-based de-escalation and source control once organism identified</w:t>
      </w:r>
    </w:p>
    <w:p>
      <w:r>
        <w:t xml:space="preserve">(b) Delaying antibiotics until culture results are available to reduce resistance selection</w:t>
      </w:r>
    </w:p>
    <w:p>
      <w:r>
        <w:t xml:space="preserve">(c) Using the same broad-spectrum regimen for all septic patients regardless of risk stratification</w:t>
      </w:r>
    </w:p>
    <w:p>
      <w:r>
        <w:t xml:space="preserve">(d) Continuing broad-spectrum therapy throughout hospitalization to prevent relapse</w:t>
      </w:r>
    </w:p>
    <w:p>
      <w:r>
        <w:t xml:space="preserve">Answer: a</w:t>
      </w:r>
    </w:p>
    <w:p>
      <w:r>
        <w:t xml:space="preserve">Solution: The stewardship paradox: severely ill patients with sepsis need empiric broad coverage for survival, but prolonged broad therapy increases resistance risk. Best practice is rapid empiric escalation followed by evidence-based de-escalation and source control. Option b delays life-saving therapy with mortality risk; c ignores risk stratification; d unnecessarily prolongs exposure. This balances urgent care with long-term resistance prevention.</w:t>
      </w:r>
    </w:p>
    <w:p>
      <w:r>
        <w:t xml:space="preserve">Positive Marks: 1</w:t>
      </w:r>
    </w:p>
    <w:p>
      <w:r>
        <w:t xml:space="preserve">Negative Marks: 0.33</w:t>
      </w:r>
    </w:p>
    <w:p/>
    <w:p>
      <w:r>
        <w:rPr>
          <w:b/>
        </w:rPr>
        <w:t xml:space="preserve">Question: The four major molecular mechanisms of antibiotic resistance include all of the following EXCEPT:</w:t>
      </w:r>
    </w:p>
    <w:p>
      <w:r>
        <w:t xml:space="preserve">(a) Increasing renal clearance of the antibiotic to prevent pathogen exposure</w:t>
      </w:r>
    </w:p>
    <w:p>
      <w:r>
        <w:t xml:space="preserve">(b) Producing enzymes that inactivate the antibiotic (e.g., beta-lactamase)</w:t>
      </w:r>
    </w:p>
    <w:p>
      <w:r>
        <w:t xml:space="preserve">(c) Altering the antibiotic target site through mutations (e.g., rRNA, PBP)</w:t>
      </w:r>
    </w:p>
    <w:p>
      <w:r>
        <w:t xml:space="preserve">(d) Actively pumping antibiotics out via efflux pumps</w:t>
      </w:r>
    </w:p>
    <w:p>
      <w:r>
        <w:t xml:space="preserve">Answer: a</w:t>
      </w:r>
    </w:p>
    <w:p>
      <w:r>
        <w:t xml:space="preserve">Solution: The four main bacterial resistance mechanisms are: enzyme production (beta-lactamase), target modification (rRNA mutations, PBP alterations), efflux pumps, and reduced permeability. Option a describes enhanced human pharmacokinetics (renal clearance), which bacteria cannot control—bacteria cannot alter human drug metabolism. The other three are proven molecular mechanisms used by resistant organisms.</w:t>
      </w:r>
    </w:p>
    <w:p>
      <w:r>
        <w:t xml:space="preserve">Positive Marks: 1</w:t>
      </w:r>
    </w:p>
    <w:p>
      <w:r>
        <w:t xml:space="preserve">Negative Marks: 0.33</w:t>
      </w:r>
    </w:p>
    <w:p/>
    <w:p>
      <w:r>
        <w:rPr>
          <w:b/>
        </w:rPr>
        <w:t xml:space="preserve">Question: Analysis of your hospital's antibiogram shows increasing prevalence of ESBL-producing E. coli (40% of isolates). What is the most appropriate institutional response?</w:t>
      </w:r>
    </w:p>
    <w:p>
      <w:r>
        <w:t xml:space="preserve">(a) Restrict third-generation cephalosporins; use carbapenems for ESBL-suspected infections; implement stewardship bundle with surveillance</w:t>
      </w:r>
    </w:p>
    <w:p>
      <w:r>
        <w:t xml:space="preserve">(b) Increase fluoroquinolone prescriptions as an alternative to cephalosporins</w:t>
      </w:r>
    </w:p>
    <w:p>
      <w:r>
        <w:t xml:space="preserve">(c) Assume all E. coli are ESBL-positive and empirically treat with carbapenems</w:t>
      </w:r>
    </w:p>
    <w:p>
      <w:r>
        <w:t xml:space="preserve">(d) Discontinue all E. coli susceptibility testing as it is now unreliable</w:t>
      </w:r>
    </w:p>
    <w:p>
      <w:r>
        <w:t xml:space="preserve">Answer: a</w:t>
      </w:r>
    </w:p>
    <w:p>
      <w:r>
        <w:t xml:space="preserve">Solution: High ESBL prevalence mandates institutional action: restrict susceptible drugs (3rd-generation cephalosporins), use carbapenem-based empiric therapy when ESBL is suspected, intensify stewardship audits, and maintain surveillance. Option b creates fluoroquinolone resistance; c overuses carbapenems unnecessarily; d abandons critical surveillance. This data-driven approach mitigates resistance escalation while optimizing therapy.</w:t>
      </w:r>
    </w:p>
    <w:p>
      <w:r>
        <w:t xml:space="preserve">Positive Marks: 1</w:t>
      </w:r>
    </w:p>
    <w:p>
      <w:r>
        <w:t xml:space="preserve">Negative Marks: 0.33</w:t>
      </w:r>
    </w:p>
    <w:p/>
    <w:p>
      <w:r>
        <w:rPr>
          <w:b/>
        </w:rPr>
        <w:t xml:space="preserve">Question: Resistance surveillance in the intensive care unit (ICU) differs significantly from community-based surveillance primarily because:</w:t>
      </w:r>
    </w:p>
    <w:p>
      <w:r>
        <w:t xml:space="preserve">(a) ICU isolates show higher resistance rates due to intensive antibiotic exposure, immunocompromised hosts, and invasive procedures; patterns drive institutional policies</w:t>
      </w:r>
    </w:p>
    <w:p>
      <w:r>
        <w:t xml:space="preserve">(b) ICU patients never develop resistant infections compared to community settings</w:t>
      </w:r>
    </w:p>
    <w:p>
      <w:r>
        <w:t xml:space="preserve">(c) Community resistance is always more severe than ICU resistance</w:t>
      </w:r>
    </w:p>
    <w:p>
      <w:r>
        <w:t xml:space="preserve">(d) ICU surveillance is unnecessary as resistance does not spread within hospital units</w:t>
      </w:r>
    </w:p>
    <w:p>
      <w:r>
        <w:t xml:space="preserve">Answer: a</w:t>
      </w:r>
    </w:p>
    <w:p>
      <w:r>
        <w:t xml:space="preserve">Solution: ICU settings amplify resistance development due to: prolonged antibiotic courses, critically ill/immunocompromised patients, invasive devices (catheters, ventilators), and high patient density promoting transmission. ICU antibiograms show higher resistance rates and guide local empiric protocols and stewardship interventions. Options b and c are factually incorrect; d is false—ICU is a major resistance reservoir. ICU surveillance is critical for institutional preparedness.</w:t>
      </w:r>
    </w:p>
    <w:p>
      <w:r>
        <w:t xml:space="preserve">Positive Marks: 1</w:t>
      </w:r>
    </w:p>
    <w:p>
      <w:r>
        <w:t xml:space="preserve">Negative Marks: 0.33</w:t>
      </w:r>
    </w:p>
    <w:sectPr>
      <w:pgSz w:w="11906" w:h="16838"/>
      <w:pgMar w:top="1134" w:right="1134" w:bottom="1134" w:left="1134"/>
    </w:sectPr>
  </w:body>
</w:document>
</file>