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Adverse drug reactions (ADRs) are defined as noxious and unintended responses to a drug that occur at doses normally used for treatment. Which of the following is NOT a characteristic feature of an ideal ADR reporting system?</w:t>
      </w:r>
    </w:p>
    <w:p>
      <w:r>
        <w:t xml:space="preserve">(a) Simplicity and ease of use</w:t>
      </w:r>
    </w:p>
    <w:p>
      <w:r>
        <w:t xml:space="preserve">(b) Sensitivity to detect all possible ADRs</w:t>
      </w:r>
    </w:p>
    <w:p>
      <w:r>
        <w:t xml:space="preserve">(c) Detailed pharmacological data from the manufacturer</w:t>
      </w:r>
    </w:p>
    <w:p>
      <w:r>
        <w:t xml:space="preserve">(d) Confidentiality of reporters and patients</w:t>
      </w:r>
    </w:p>
    <w:p>
      <w:r>
        <w:t xml:space="preserve">Answer: c</w:t>
      </w:r>
    </w:p>
    <w:p>
      <w:r>
        <w:t xml:space="preserve">Solution: An ideal ADR reporting system (like India's PvPI) should be simple, sensitive, confidential, timely, and representative. Detailed pharmacological data from manufacturers is not essential for ADR reporting systems—they focus on patient outcomes and clinical manifestations. Option A, B, and D are all core characteristics of pharmacovigilance systems. The system must be easy to use to encourage reporting, sensitive to catch genuine reactions, and maintain confidentiality to ensure healthcare providers report freely without fear of liability. Manufacturer data is available separately in drug literature.</w:t>
      </w:r>
    </w:p>
    <w:p>
      <w:r>
        <w:t xml:space="preserve">Positive Marks: 1</w:t>
      </w:r>
    </w:p>
    <w:p>
      <w:r>
        <w:t xml:space="preserve">Negative Marks: 0.33</w:t>
      </w:r>
    </w:p>
    <w:p/>
    <w:p>
      <w:r>
        <w:rPr>
          <w:b/>
        </w:rPr>
        <w:t xml:space="preserve">Question: A 65-year-old patient on long-term therapy with an antiepileptic drug develops gingival hyperplasia. This represents which Type of adverse drug reaction according to Rawlins and Thompson classification?</w:t>
      </w:r>
    </w:p>
    <w:p>
      <w:r>
        <w:t xml:space="preserve">(a) Type A (Augmented/dose-related)</w:t>
      </w:r>
    </w:p>
    <w:p>
      <w:r>
        <w:t xml:space="preserve">(b) Type B (Bizarre/idiosyncratic)</w:t>
      </w:r>
    </w:p>
    <w:p>
      <w:r>
        <w:t xml:space="preserve">(c) Type C (Continuous/cumulative)</w:t>
      </w:r>
    </w:p>
    <w:p>
      <w:r>
        <w:t xml:space="preserve">(d) Type D (Delayed)</w:t>
      </w:r>
    </w:p>
    <w:p>
      <w:r>
        <w:t xml:space="preserve">Answer: b</w:t>
      </w:r>
    </w:p>
    <w:p>
      <w:r>
        <w:t xml:space="preserve">Solution: Gingival hyperplasia from phenytoin is a Type B ADR—bizarre, non-dose-related, unpredictable, and occurs in susceptible individuals. It's not predictable from the drug's pharmacology and doesn't depend on dose. Type A reactions are dose-dependent (overdose effects), Type C occurs with prolonged use, and Type D manifests after treatment ends. Phenytoin-induced gingival hyperplasia is classic Type B because it's idiosyncratic and affects only some patients. Memory aid: Type B = Bizarre = Not dose-related = Unpredictable.</w:t>
      </w:r>
    </w:p>
    <w:p>
      <w:r>
        <w:t xml:space="preserve">Positive Marks: 1</w:t>
      </w:r>
    </w:p>
    <w:p>
      <w:r>
        <w:t xml:space="preserve">Negative Marks: 0.33</w:t>
      </w:r>
    </w:p>
    <w:p/>
    <w:p>
      <w:r>
        <w:rPr>
          <w:b/>
        </w:rPr>
        <w:t xml:space="preserve">Question: Which of the following is a Type E adverse drug reaction according to Rawlins and Thompson classification?</w:t>
      </w:r>
    </w:p>
    <w:p>
      <w:r>
        <w:t xml:space="preserve">(a) Hepatotoxicity from acetaminophen overdose</w:t>
      </w:r>
    </w:p>
    <w:p>
      <w:r>
        <w:t xml:space="preserve">(b) Rebound hypertension after abrupt withdrawal of beta-blockers</w:t>
      </w:r>
    </w:p>
    <w:p>
      <w:r>
        <w:t xml:space="preserve">(c) Drug-induced lupus with hydralazine</w:t>
      </w:r>
    </w:p>
    <w:p>
      <w:r>
        <w:t xml:space="preserve">(d) Hypersensitivity rash to penicillin in an allergic patient</w:t>
      </w:r>
    </w:p>
    <w:p>
      <w:r>
        <w:t xml:space="preserve">Answer: b</w:t>
      </w:r>
    </w:p>
    <w:p>
      <w:r>
        <w:t xml:space="preserve">Solution: Type E reactions occur after treatment withdrawal (End-of-treatment effects). Rebound hypertension following beta-blocker withdrawal is a classic Type E ADR due to increased adrenergic sensitivity. Option A is Type A (dose-related), C is Type B (idiosyncratic), and D is Type B (hypersensitivity). Type E represents predictable pharmacological consequences of drug discontinuation—the body rebounds when the drug's effect is removed. This is also called 'rebound phenomenon.'</w:t>
      </w:r>
    </w:p>
    <w:p>
      <w:r>
        <w:t xml:space="preserve">Positive Marks: 1</w:t>
      </w:r>
    </w:p>
    <w:p>
      <w:r>
        <w:t xml:space="preserve">Negative Marks: 0.33</w:t>
      </w:r>
    </w:p>
    <w:p/>
    <w:p>
      <w:r>
        <w:rPr>
          <w:b/>
        </w:rPr>
        <w:t xml:space="preserve">Question: A patient develops a predictable dose-related toxicity of tremor and tachycardia after taking excessive theophylline. This represents which classification of adverse drug reaction?</w:t>
      </w:r>
    </w:p>
    <w:p>
      <w:r>
        <w:t xml:space="preserve">(a) Type B reaction</w:t>
      </w:r>
    </w:p>
    <w:p>
      <w:r>
        <w:t xml:space="preserve">(b) Type C reaction</w:t>
      </w:r>
    </w:p>
    <w:p>
      <w:r>
        <w:t xml:space="preserve">(c) Type A reaction</w:t>
      </w:r>
    </w:p>
    <w:p>
      <w:r>
        <w:t xml:space="preserve">(d) Type D reaction</w:t>
      </w:r>
    </w:p>
    <w:p>
      <w:r>
        <w:t xml:space="preserve">Answer: c</w:t>
      </w:r>
    </w:p>
    <w:p>
      <w:r>
        <w:t xml:space="preserve">Solution: Type A (Augmented) reactions are dose-dependent, predictable, and represent an exaggeration of the drug's normal pharmacological effect. Theophylline overdose causing tremor and tachycardia is a classic Type A reaction—these are predictable toxicities based on excessive drug concentration. Type B is unpredictable, Type C involves cumulative effects, and Type D is delayed. Understanding Type A reactions helps with dose adjustments and therapeutic drug monitoring.</w:t>
      </w:r>
    </w:p>
    <w:p>
      <w:r>
        <w:t xml:space="preserve">Positive Marks: 1</w:t>
      </w:r>
    </w:p>
    <w:p>
      <w:r>
        <w:t xml:space="preserve">Negative Marks: 0.33</w:t>
      </w:r>
    </w:p>
    <w:p/>
    <w:p>
      <w:r>
        <w:rPr>
          <w:b/>
        </w:rPr>
        <w:t xml:space="preserve">Question: Which factor MOST significantly increases the risk of adverse drug reactions in elderly patients?</w:t>
      </w:r>
    </w:p>
    <w:p>
      <w:r>
        <w:t xml:space="preserve">(a) Decreased drug absorption from the GI tract</w:t>
      </w:r>
    </w:p>
    <w:p>
      <w:r>
        <w:t xml:space="preserve">(b) Increased renal clearance of drugs</w:t>
      </w:r>
    </w:p>
    <w:p>
      <w:r>
        <w:t xml:space="preserve">(c) Decreased hepatic metabolism due to reduced liver mass and blood flow</w:t>
      </w:r>
    </w:p>
    <w:p>
      <w:r>
        <w:t xml:space="preserve">(d) Increased plasma protein binding</w:t>
      </w:r>
    </w:p>
    <w:p>
      <w:r>
        <w:t xml:space="preserve">Answer: c</w:t>
      </w:r>
    </w:p>
    <w:p>
      <w:r>
        <w:t xml:space="preserve">Solution: Elderly patients have reduced liver mass (25% less), decreased hepatic blood flow, and reduced enzymatic activity, leading to impaired drug metabolism and increased drug accumulation. While decreased renal function is also important, hepatic changes affect nearly all drugs. Absorption is relatively preserved, renal clearance decreases (not increases), and protein binding changes minimally. Drug half-lives increase significantly in elderly due to decreased metabolism, requiring dose adjustments. This explains why elderly patients are 2-3 times more prone to ADRs.</w:t>
      </w:r>
    </w:p>
    <w:p>
      <w:r>
        <w:t xml:space="preserve">Positive Marks: 1</w:t>
      </w:r>
    </w:p>
    <w:p>
      <w:r>
        <w:t xml:space="preserve">Negative Marks: 0.33</w:t>
      </w:r>
    </w:p>
    <w:p/>
    <w:p>
      <w:r>
        <w:rPr>
          <w:b/>
        </w:rPr>
        <w:t xml:space="preserve">Question: A patient on warfarin therapy develops increased INR after starting aspirin. This is an example of which type of drug interaction causing adverse effects?</w:t>
      </w:r>
    </w:p>
    <w:p>
      <w:r>
        <w:t xml:space="preserve">(a) Pharmacokinetic interaction through enzyme induction</w:t>
      </w:r>
    </w:p>
    <w:p>
      <w:r>
        <w:t xml:space="preserve">(b) Pharmacokinetic interaction through enzyme inhibition</w:t>
      </w:r>
    </w:p>
    <w:p>
      <w:r>
        <w:t xml:space="preserve">(c) Pharmacodynamic interaction—additive effects</w:t>
      </w:r>
    </w:p>
    <w:p>
      <w:r>
        <w:t xml:space="preserve">(d) Pharmaceutical interaction—physical/chemical incompatibility</w:t>
      </w:r>
    </w:p>
    <w:p>
      <w:r>
        <w:t xml:space="preserve">Answer: c</w:t>
      </w:r>
    </w:p>
    <w:p>
      <w:r>
        <w:t xml:space="preserve">Solution: Aspirin and warfarin have additive anticoagulant effects (pharmacodynamic interaction), both affecting hemostasis through different mechanisms—aspirin inhibits platelet aggregation while warfarin inhibits vitamin K-dependent factors. This is NOT a pharmacokinetic interaction. While aspirin can displace warfarin from protein binding (minor pharmacokinetic effect), the major ADR mechanism is pharmacodynamic—combined anticoagulant effects increasing bleeding risk. Aspirin doesn't significantly induce or inhibit warfarin metabolism. This is a classic example of pharmacodynamic drug interaction.</w:t>
      </w:r>
    </w:p>
    <w:p>
      <w:r>
        <w:t xml:space="preserve">Positive Marks: 1</w:t>
      </w:r>
    </w:p>
    <w:p>
      <w:r>
        <w:t xml:space="preserve">Negative Marks: 0.33</w:t>
      </w:r>
    </w:p>
    <w:p/>
    <w:p>
      <w:r>
        <w:rPr>
          <w:b/>
        </w:rPr>
        <w:t xml:space="preserve">Question: Drug-induced systemic lupus erythematosus (SLE) with positive ANA is more commonly associated with chronic use of which drug?</w:t>
      </w:r>
    </w:p>
    <w:p>
      <w:r>
        <w:t xml:space="preserve">(a) Penicillin and sulfonamides</w:t>
      </w:r>
    </w:p>
    <w:p>
      <w:r>
        <w:t xml:space="preserve">(b) Hydralazine and procainamide</w:t>
      </w:r>
    </w:p>
    <w:p>
      <w:r>
        <w:t xml:space="preserve">(c) NSAIDs and corticosteroids</w:t>
      </w:r>
    </w:p>
    <w:p>
      <w:r>
        <w:t xml:space="preserve">(d) Aminoglycosides and fluoroquinolones</w:t>
      </w:r>
    </w:p>
    <w:p>
      <w:r>
        <w:t xml:space="preserve">Answer: b</w:t>
      </w:r>
    </w:p>
    <w:p>
      <w:r>
        <w:t xml:space="preserve">Solution: Drug-induced lupus (DIL) is classically associated with hydralazine and procainamide—presenting with positive ANA, often negative anti-dsDNA and complement-fixing antibodies. Other common culprits include isoniazid and minocycline. DIL is a Type B ADR (idiosyncratic). Option A causes allergic reactions, C may mask SLE, and D rarely cause SLE. The key feature of DIL is rapid resolution upon drug discontinuation, unlike idiopathic SLE. Hydralazine-induced lupus is taught as the prototype drug-induced autoimmune reaction.</w:t>
      </w:r>
    </w:p>
    <w:p>
      <w:r>
        <w:t xml:space="preserve">Positive Marks: 1</w:t>
      </w:r>
    </w:p>
    <w:p>
      <w:r>
        <w:t xml:space="preserve">Negative Marks: 0.33</w:t>
      </w:r>
    </w:p>
    <w:p/>
    <w:p>
      <w:r>
        <w:rPr>
          <w:b/>
        </w:rPr>
        <w:t xml:space="preserve">Question: A patient on streptomycin therapy for tuberculosis develops sensorineural hearing loss. At what frequency range does ototoxicity from aminoglycosides typically manifest?</w:t>
      </w:r>
    </w:p>
    <w:p>
      <w:r>
        <w:t xml:space="preserve">(a) Low frequency (250-500 Hz)</w:t>
      </w:r>
    </w:p>
    <w:p>
      <w:r>
        <w:t xml:space="preserve">(b) Mid frequency (1000-2000 Hz)</w:t>
      </w:r>
    </w:p>
    <w:p>
      <w:r>
        <w:t xml:space="preserve">(c) High frequency (4000-8000 Hz)</w:t>
      </w:r>
    </w:p>
    <w:p>
      <w:r>
        <w:t xml:space="preserve">(d) Very low frequency (below 250 Hz)</w:t>
      </w:r>
    </w:p>
    <w:p>
      <w:r>
        <w:t xml:space="preserve">Answer: c</w:t>
      </w:r>
    </w:p>
    <w:p>
      <w:r>
        <w:t xml:space="preserve">Solution: Aminoglycoside ototoxicity characteristically affects high frequencies first (4000-8000 Hz), progressively involving lower frequencies as damage progresses. This is why early audiometry testing focuses on high frequencies to detect ototoxicity before clinically apparent hearing loss. Streptomycin causes more ototoxicity than other aminoglycosides. Vestibulotoxicity (affecting balance) also occurs. Regular audiometric monitoring is recommended for prolonged aminoglycoside therapy. Memory aid: High-frequency loss = High-risk toxicity from aminoglycosides.</w:t>
      </w:r>
    </w:p>
    <w:p>
      <w:r>
        <w:t xml:space="preserve">Positive Marks: 1</w:t>
      </w:r>
    </w:p>
    <w:p>
      <w:r>
        <w:t xml:space="preserve">Negative Marks: 0.33</w:t>
      </w:r>
    </w:p>
    <w:p/>
    <w:p>
      <w:r>
        <w:rPr>
          <w:b/>
        </w:rPr>
        <w:t xml:space="preserve">Question: Which of the following drugs is most likely to cause hepatotoxicity through an idiosyncratic (unpredictable) mechanism?</w:t>
      </w:r>
    </w:p>
    <w:p>
      <w:r>
        <w:t xml:space="preserve">(a) Acetaminophen at therapeutic doses</w:t>
      </w:r>
    </w:p>
    <w:p>
      <w:r>
        <w:t xml:space="preserve">(b) Isoniazid</w:t>
      </w:r>
    </w:p>
    <w:p>
      <w:r>
        <w:t xml:space="preserve">(c) Methotrexate with chronic use</w:t>
      </w:r>
    </w:p>
    <w:p>
      <w:r>
        <w:t xml:space="preserve">(d) Chloramphenicol</w:t>
      </w:r>
    </w:p>
    <w:p>
      <w:r>
        <w:t xml:space="preserve">Answer: d</w:t>
      </w:r>
    </w:p>
    <w:p>
      <w:r>
        <w:t xml:space="preserve">Solution: Chloramphenicol causes aplastic anemia and hepatotoxicity through an idiosyncratic (Type B) mechanism—unpredictable, non-dose-related, occurs in susceptible individuals. Acetaminophen causes predictable dose-related hepatotoxicity (Type A), isoniazid causes dose-dependent hepatitis, and methotrexate causes predictable cumulative hepatotoxicity with chronic use. Chloramphenicol's toxicity is truly unpredictable and can occur even at therapeutic doses in sensitive individuals, making it a classic Type B ADR. This is why chloramphenicol use is restricted in many countries despite being effective.</w:t>
      </w:r>
    </w:p>
    <w:p>
      <w:r>
        <w:t xml:space="preserve">Positive Marks: 1</w:t>
      </w:r>
    </w:p>
    <w:p>
      <w:r>
        <w:t xml:space="preserve">Negative Marks: 0.33</w:t>
      </w:r>
    </w:p>
    <w:p/>
    <w:p>
      <w:r>
        <w:rPr>
          <w:b/>
        </w:rPr>
        <w:t xml:space="preserve">Question: A pregnant woman in the first trimester develops a severe infection and is mistakenly prescribed thalidomide. Which structural defect is she MOST at risk of delivering?</w:t>
      </w:r>
    </w:p>
    <w:p>
      <w:r>
        <w:t xml:space="preserve">(a) Cardiac defects and septal abnormalities</w:t>
      </w:r>
    </w:p>
    <w:p>
      <w:r>
        <w:t xml:space="preserve">(b) Limb defects—phocomelia (flipper-like limbs)</w:t>
      </w:r>
    </w:p>
    <w:p>
      <w:r>
        <w:t xml:space="preserve">(c) Cleft palate and dental abnormalities</w:t>
      </w:r>
    </w:p>
    <w:p>
      <w:r>
        <w:t xml:space="preserve">(d) Neural tube defects and spina bifida</w:t>
      </w:r>
    </w:p>
    <w:p>
      <w:r>
        <w:t xml:space="preserve">Answer: b</w:t>
      </w:r>
    </w:p>
    <w:p>
      <w:r>
        <w:t xml:space="preserve">Solution: Thalidomide is a teratogenic drug (Type D ADR—delayed effect manifesting as birth defects) causing phocomelia and other limb malformations when used in the first trimester, particularly weeks 3-8. This classic thalidomide tragedy led to modern FDA teratogenicity classifications. Option A suggests aspirin/NSAIDs, C suggests corticosteroids, and D suggests anticonvulsants/methotrexate. Thalidomide represents one of history's most significant teratogenic disasters. Today it's used carefully for multiple myeloma with strict pregnancy prevention programs.</w:t>
      </w:r>
    </w:p>
    <w:p>
      <w:r>
        <w:t xml:space="preserve">Positive Marks: 1</w:t>
      </w:r>
    </w:p>
    <w:p>
      <w:r>
        <w:t xml:space="preserve">Negative Marks: 0.33</w:t>
      </w:r>
    </w:p>
    <w:p/>
    <w:p>
      <w:r>
        <w:rPr>
          <w:b/>
        </w:rPr>
        <w:t xml:space="preserve">Question: A patient develops drug-induced hemolytic anemia after taking sulfonamides. Which glucose-6-phosphate dehydrogenase (G6PD) status makes this reaction more likely?</w:t>
      </w:r>
    </w:p>
    <w:p>
      <w:r>
        <w:t xml:space="preserve">(a) Heterozygous female carriers with normal enzyme levels</w:t>
      </w:r>
    </w:p>
    <w:p>
      <w:r>
        <w:t xml:space="preserve">(b) Homozygous males with severely deficient enzyme activity</w:t>
      </w:r>
    </w:p>
    <w:p>
      <w:r>
        <w:t xml:space="preserve">(c) Normal individuals with adequate G6PD enzyme reserves</w:t>
      </w:r>
    </w:p>
    <w:p>
      <w:r>
        <w:t xml:space="preserve">(d) Individuals with enzyme levels at 50% of normal</w:t>
      </w:r>
    </w:p>
    <w:p>
      <w:r>
        <w:t xml:space="preserve">Answer: b</w:t>
      </w:r>
    </w:p>
    <w:p>
      <w:r>
        <w:t xml:space="preserve">Solution: G6PD deficiency (especially homozygous males with severe deficiency) predisposes to hemolytic anemia with oxidant drugs like sulfonamides, primaquine, and dapsone. Oxidant stress overwhelming reduced glutathione defense leads to hemolysis. Heterozygous females and those with 50% enzyme levels have better tolerance. Normal individuals don't develop hemolysis. This is a classic pharmacogenetic Type B ADR—the reaction depends on genetic predisposition, not dose. Screening high-risk populations (African, Mediterranean, Asian descent) before prescribing oxidant drugs prevents serious complications.</w:t>
      </w:r>
    </w:p>
    <w:p>
      <w:r>
        <w:t xml:space="preserve">Positive Marks: 1</w:t>
      </w:r>
    </w:p>
    <w:p>
      <w:r>
        <w:t xml:space="preserve">Negative Marks: 0.33</w:t>
      </w:r>
    </w:p>
    <w:p/>
    <w:p>
      <w:r>
        <w:rPr>
          <w:b/>
        </w:rPr>
        <w:t xml:space="preserve">Question: Drug allergy with IgE-mediated mechanism occurs after previous exposure to a drug. Which of the following is NOT a component of true IgE-mediated drug allergy?</w:t>
      </w:r>
    </w:p>
    <w:p>
      <w:r>
        <w:t xml:space="preserve">(a) Immediate onset (minutes to hours)</w:t>
      </w:r>
    </w:p>
    <w:p>
      <w:r>
        <w:t xml:space="preserve">(b) Previous sensitization/exposure to the drug</w:t>
      </w:r>
    </w:p>
    <w:p>
      <w:r>
        <w:t xml:space="preserve">(c) Dose-dependent manifestations</w:t>
      </w:r>
    </w:p>
    <w:p>
      <w:r>
        <w:t xml:space="preserve">(d) Reproducibility with challenge—repeat exposure causes same reaction</w:t>
      </w:r>
    </w:p>
    <w:p>
      <w:r>
        <w:t xml:space="preserve">Answer: c</w:t>
      </w:r>
    </w:p>
    <w:p>
      <w:r>
        <w:t xml:space="preserve">Solution: IgE-mediated drug allergies are NOT dose-dependent—they can occur with any dose, even micrograms, once sensitized. Options A, B, and D all characterize IgE-mediated reactions. Type B allergic ADRs are unpredictable and occur in previously sensitized individuals regardless of dose—this distinguishes them from dose-dependent Type A reactions. This is why allergic individuals must permanently avoid the drug. Penicillin allergy is the classic example—tiny doses can trigger severe reactions in sensitized persons.</w:t>
      </w:r>
    </w:p>
    <w:p>
      <w:r>
        <w:t xml:space="preserve">Positive Marks: 1</w:t>
      </w:r>
    </w:p>
    <w:p>
      <w:r>
        <w:t xml:space="preserve">Negative Marks: 0.33</w:t>
      </w:r>
    </w:p>
    <w:p/>
    <w:p>
      <w:r>
        <w:rPr>
          <w:b/>
        </w:rPr>
        <w:t xml:space="preserve">Question: A patient on chronic amoxicillin therapy suddenly develops a widespread maculopapular rash. Desensitization protocol would be MOST appropriate if:</w:t>
      </w:r>
    </w:p>
    <w:p>
      <w:r>
        <w:t xml:space="preserve">(a) The rash occurs within 15 minutes of injection</w:t>
      </w:r>
    </w:p>
    <w:p>
      <w:r>
        <w:t xml:space="preserve">(b) The patient has a documented history of anaphylaxis to penicillins</w:t>
      </w:r>
    </w:p>
    <w:p>
      <w:r>
        <w:t xml:space="preserve">(c) The rash is delayed (appears after 48 hours) and patient desperately needs the antibiotic</w:t>
      </w:r>
    </w:p>
    <w:p>
      <w:r>
        <w:t xml:space="preserve">(d) The patient has IgE-mediated immediate hypersensitivity reaction</w:t>
      </w:r>
    </w:p>
    <w:p>
      <w:r>
        <w:t xml:space="preserve">Answer: c</w:t>
      </w:r>
    </w:p>
    <w:p>
      <w:r>
        <w:t xml:space="preserve">Solution: Desensitization is considered only for delayed hypersensitivity reactions (non-IgE mediated, occur after days) when the drug is essential and no alternatives exist. Delayed rashes (Type B reactions) can sometimes be managed with desensitization. Immediate reactions (option A) and anaphylaxis (option B) contraindicate desensitization due to life-threatening risk. IgE-mediated reactions (option D) are contraindications. Desensitization involves gradually increasing doses to induce tolerance, unsuitable for immediate/IgE-mediated reactions. This represents clinical judgment in managing drug allergies versus genuine medical need.</w:t>
      </w:r>
    </w:p>
    <w:p>
      <w:r>
        <w:t xml:space="preserve">Positive Marks: 1</w:t>
      </w:r>
    </w:p>
    <w:p>
      <w:r>
        <w:t xml:space="preserve">Negative Marks: 0.33</w:t>
      </w:r>
    </w:p>
    <w:p/>
    <w:p>
      <w:r>
        <w:rPr>
          <w:b/>
        </w:rPr>
        <w:t xml:space="preserve">Question: Antihistamines and corticosteroids are effective for managing allergic drug reactions primarily because they:</w:t>
      </w:r>
    </w:p>
    <w:p>
      <w:r>
        <w:t xml:space="preserve">(a) Prevent drug metabolism and reduce circulating drug concentration</w:t>
      </w:r>
    </w:p>
    <w:p>
      <w:r>
        <w:t xml:space="preserve">(b) Block histamine receptors and suppress inflammatory mediator release</w:t>
      </w:r>
    </w:p>
    <w:p>
      <w:r>
        <w:t xml:space="preserve">(c) Induce drug-metabolizing enzymes and enhance elimination</w:t>
      </w:r>
    </w:p>
    <w:p>
      <w:r>
        <w:t xml:space="preserve">(d) Replace deficient endogenous antibodies against the drug hapten</w:t>
      </w:r>
    </w:p>
    <w:p>
      <w:r>
        <w:t xml:space="preserve">Answer: b</w:t>
      </w:r>
    </w:p>
    <w:p>
      <w:r>
        <w:t xml:space="preserve">Solution: Antihistamines block H1 and H2 receptors (reducing histamine effects), while corticosteroids suppress inflammatory mediators (cytokines, complement, prostaglandins). Together they manage the inflammatory consequences of allergic reactions, not the drug itself. Options A and C involve drug elimination (not the mechanism here). Option D is incorrect—you can't replace antibodies against drug-hapten complexes. This symptomatic approach works for allergic/inflammatory ADRs but doesn't address the underlying sensitization. True management requires drug discontinuation and avoidance in future.</w:t>
      </w:r>
    </w:p>
    <w:p>
      <w:r>
        <w:t xml:space="preserve">Positive Marks: 1</w:t>
      </w:r>
    </w:p>
    <w:p>
      <w:r>
        <w:t xml:space="preserve">Negative Marks: 0.33</w:t>
      </w:r>
    </w:p>
    <w:p/>
    <w:p>
      <w:r>
        <w:rPr>
          <w:b/>
        </w:rPr>
        <w:t xml:space="preserve">Question: A 72-year-old patient on digoxin therapy develops nausea, visual disturbances (yellow vision), and arrhythmias. Serum digoxin level is 3.5 ng/mL (therapeutic range 0.8-2.0 ng/mL). The renal function is reduced (GFR = 30 mL/min). Which management step is NOT appropriate?</w:t>
      </w:r>
    </w:p>
    <w:p>
      <w:r>
        <w:t xml:space="preserve">(a) Immediate discontinuation of digoxin</w:t>
      </w:r>
    </w:p>
    <w:p>
      <w:r>
        <w:t xml:space="preserve">(b) IV calcium gluconate to stabilize the myocardium</w:t>
      </w:r>
    </w:p>
    <w:p>
      <w:r>
        <w:t xml:space="preserve">(c) Activated charcoal if ingestion was recent</w:t>
      </w:r>
    </w:p>
    <w:p>
      <w:r>
        <w:t xml:space="preserve">(d) Digoxin-specific antibody fragments (Fab) for severe toxicity</w:t>
      </w:r>
    </w:p>
    <w:p>
      <w:r>
        <w:t xml:space="preserve">Answer: b</w:t>
      </w:r>
    </w:p>
    <w:p>
      <w:r>
        <w:t xml:space="preserve">Solution: IV calcium gluconate is CONTRAINDICATED in digoxin toxicity because it increases myocardial irritability and precipitates dangerous arrhythmias (including ventricular fibrillation). Calcium is used in hyperkalemia-related cardiac effects, not digoxin toxicity. Appropriate management includes stopping digoxin, correcting hypokalemia (if present), managing arrhythmias with appropriate drugs, and using Fab fragments for severe toxicity. Reduced renal function impairs digoxin elimination, necessitating dose adjustment. This is a critical safety concept—calcium worsens digoxin toxicity despite improving other arrhythmias.</w:t>
      </w:r>
    </w:p>
    <w:p>
      <w:r>
        <w:t xml:space="preserve">Positive Marks: 1</w:t>
      </w:r>
    </w:p>
    <w:p>
      <w:r>
        <w:t xml:space="preserve">Negative Marks: 0.33</w:t>
      </w:r>
    </w:p>
    <w:p/>
    <w:p>
      <w:r>
        <w:rPr>
          <w:b/>
        </w:rPr>
        <w:t xml:space="preserve">Question: A patient on methotrexate therapy for cancer develops severe bone marrow suppression. High-dose folinic acid (leucovorin) rescue is administered. The mechanism of protection involves:</w:t>
      </w:r>
    </w:p>
    <w:p>
      <w:r>
        <w:t xml:space="preserve">(a) Blocking methotrexate's dihydrofolate reductase inhibition</w:t>
      </w:r>
    </w:p>
    <w:p>
      <w:r>
        <w:t xml:space="preserve">(b) Bypassing the blocked enzymatic step—providing reduced folate directly</w:t>
      </w:r>
    </w:p>
    <w:p>
      <w:r>
        <w:t xml:space="preserve">(c) Inducing hepatic enzymes to accelerate methotrexate elimination</w:t>
      </w:r>
    </w:p>
    <w:p>
      <w:r>
        <w:t xml:space="preserve">(d) Competing with methotrexate for protein binding and enhancing renal excretion</w:t>
      </w:r>
    </w:p>
    <w:p>
      <w:r>
        <w:t xml:space="preserve">Answer: b</w:t>
      </w:r>
    </w:p>
    <w:p>
      <w:r>
        <w:t xml:space="preserve">Solution: Leucovorin (folinic acid) rescue works by providing 5,10-methylenetetrahydrofolate directly, bypassing the dihydrofolate reductase block created by methotrexate. It 'rescues' normal cells from methotrexate toxicity without affecting drug's anticancer activity against dividing tumor cells (which accumulate methotrexate). Option A is incorrect—leucovorin doesn't block methotrexate's action. Options C and D are wrong mechanisms. Timing is critical—leucovorin must be given at specific intervals post-methotrexate to prevent toxicity while allowing maximum anticancer effect. This represents rational pharmacological management of predictable Type A ADR.</w:t>
      </w:r>
    </w:p>
    <w:p>
      <w:r>
        <w:t xml:space="preserve">Positive Marks: 1</w:t>
      </w:r>
    </w:p>
    <w:p>
      <w:r>
        <w:t xml:space="preserve">Negative Marks: 0.33</w:t>
      </w:r>
    </w:p>
    <w:p/>
    <w:p>
      <w:r>
        <w:rPr>
          <w:b/>
        </w:rPr>
        <w:t xml:space="preserve">Question: N-acetylcysteine is used as an antidote in acetaminophen overdose because it:</w:t>
      </w:r>
    </w:p>
    <w:p>
      <w:r>
        <w:t xml:space="preserve">(a) Inhibits acetaminophen absorption from the GI tract</w:t>
      </w:r>
    </w:p>
    <w:p>
      <w:r>
        <w:t xml:space="preserve">(b) Replenishes hepatic glutathione stores necessary for acetaminophen detoxification</w:t>
      </w:r>
    </w:p>
    <w:p>
      <w:r>
        <w:t xml:space="preserve">(c) Induces hepatic cytochrome P450 enzymes to accelerate acetaminophen metabolism</w:t>
      </w:r>
    </w:p>
    <w:p>
      <w:r>
        <w:t xml:space="preserve">(d) Competitively inhibits acetaminophen metabolism preventing toxic metabolite formation</w:t>
      </w:r>
    </w:p>
    <w:p>
      <w:r>
        <w:t xml:space="preserve">Answer: b</w:t>
      </w:r>
    </w:p>
    <w:p>
      <w:r>
        <w:t xml:space="preserve">Solution: N-acetylcysteine works by replenishing hepatic reduced glutathione (GSH), which conjugates acetaminophen's toxic metabolite (N-acetyl-p-benzoquinoneimine). Overdose depletes GSH reserves, causing hepatotoxicity. NAC restores conjugation capacity, preventing liver damage. Option A is incorrect (NAC doesn't prevent absorption). Option C is wrong (NAC doesn't induce P450). Option D is wrong (blocking metabolism would prevent detoxification). Early NAC administration within 24 hours (ideally within 8 hours) is critical. This represents Type A toxicity (dose-related, predictable) with specific antidotal management. Memory aid: Glutathione depleted = NAC replenishes = Liver protected.</w:t>
      </w:r>
    </w:p>
    <w:p>
      <w:r>
        <w:t xml:space="preserve">Positive Marks: 1</w:t>
      </w:r>
    </w:p>
    <w:p>
      <w:r>
        <w:t xml:space="preserve">Negative Marks: 0.33</w:t>
      </w:r>
    </w:p>
    <w:p/>
    <w:p>
      <w:r>
        <w:rPr>
          <w:b/>
        </w:rPr>
        <w:t xml:space="preserve">Question: A patient develops Stevens-Johnson Syndrome (SJS) with mucosal sloughing and widespread blistering after starting trimethoprim-sulfamethoxazole. This severe cutaneous ADR is classified as:</w:t>
      </w:r>
    </w:p>
    <w:p>
      <w:r>
        <w:t xml:space="preserve">(a) Type A reaction with dose-dependent progression</w:t>
      </w:r>
    </w:p>
    <w:p>
      <w:r>
        <w:t xml:space="preserve">(b) Type B reaction—bizarre, unpredictable, idiosyncratic</w:t>
      </w:r>
    </w:p>
    <w:p>
      <w:r>
        <w:t xml:space="preserve">(c) Type C reaction from cumulative drug effects</w:t>
      </w:r>
    </w:p>
    <w:p>
      <w:r>
        <w:t xml:space="preserve">(d) Type D reaction manifesting after drug discontinuation</w:t>
      </w:r>
    </w:p>
    <w:p>
      <w:r>
        <w:t xml:space="preserve">Answer: b</w:t>
      </w:r>
    </w:p>
    <w:p>
      <w:r>
        <w:t xml:space="preserve">Solution: Stevens-Johnson Syndrome is a Type B ADR (bizarre, non-dose-related, idiosyncratic, unpredictable). It occurs in genetically susceptible individuals regardless of dose, often with antibiotics (sulfonamides, trimethoprim, anticonvulsants). Type A would be dose-dependent dermatitis, Type C involves cumulative effects, and Type D occurs post-treatment. SJS is a severe T-cell mediated immunological reaction (not allergic). HLA-B*5801 polymorphisms increase risk with certain drugs. Immediate drug discontinuation is essential. This represents the most severe spectrum of cutaneous ADRs, potentially life-threatening, requiring ICU care and requiring recognition as Type B helps clinicians avoid repeating the drug.</w:t>
      </w:r>
    </w:p>
    <w:p>
      <w:r>
        <w:t xml:space="preserve">Positive Marks: 1</w:t>
      </w:r>
    </w:p>
    <w:p>
      <w:r>
        <w:t xml:space="preserve">Negative Marks: 0.33</w:t>
      </w:r>
    </w:p>
    <w:p/>
    <w:p>
      <w:r>
        <w:rPr>
          <w:b/>
        </w:rPr>
        <w:t xml:space="preserve">Question: Which of the following combinations represents drugs requiring MANDATORY genetic screening BEFORE prescribing to prevent severe adverse reactions?</w:t>
      </w:r>
    </w:p>
    <w:p>
      <w:r>
        <w:t xml:space="preserve">(a) Amoxicillin with warfarin—screen for CYP2C9 polymorphism</w:t>
      </w:r>
    </w:p>
    <w:p>
      <w:r>
        <w:t xml:space="preserve">(b) Abacavir (antiretroviral) with NSAIDs—screen for G6PD deficiency</w:t>
      </w:r>
    </w:p>
    <w:p>
      <w:r>
        <w:t xml:space="preserve">(c) Carbamazepine/allopurinol with HLA-B*5801 and HLA-B*1502—screen for genetic variants</w:t>
      </w:r>
    </w:p>
    <w:p>
      <w:r>
        <w:t xml:space="preserve">(d) Metformin with ACE inhibitors—screen for renal function only</w:t>
      </w:r>
    </w:p>
    <w:p>
      <w:r>
        <w:t xml:space="preserve">Answer: c</w:t>
      </w:r>
    </w:p>
    <w:p>
      <w:r>
        <w:t xml:space="preserve">Solution: Carbamazepine and allopurinol carry HLA-B*5801/B*1502 genetic associations causing severe cutaneous reactions (SJS, TEN) in genetically predisposed individuals. Pharmacogenomic screening is increasingly recommended/mandatory before prescribing. Option A is partially relevant (CYP2C9 affects warfarin metabolism but not mandatory). Option B is wrong (abacavir hypersensitivity involves HLA-B*5701, not G6PD). Option D (metformin and ACE inhibitors) are usually safe together. This reflects modern precision medicine approach to ADR prevention—identifying genetic risk factors before drug exposure. Knowledge of pharmacogenomic testing is increasingly important for nursing practice in preventing severe ADRs.</w:t>
      </w:r>
    </w:p>
    <w:p>
      <w:r>
        <w:t xml:space="preserve">Positive Marks: 1</w:t>
      </w:r>
    </w:p>
    <w:p>
      <w:r>
        <w:t xml:space="preserve">Negative Marks: 0.33</w:t>
      </w:r>
    </w:p>
    <w:p/>
    <w:p>
      <w:r>
        <w:rPr>
          <w:b/>
        </w:rPr>
        <w:t xml:space="preserve">Question: A patient with a documented history of penicillin hypersensitivity develops severe urticaria, angioedema, and hypotension within minutes of receiving an amoxicillin injection. This type of adverse drug reaction is best classified as:</w:t>
      </w:r>
    </w:p>
    <w:p>
      <w:r>
        <w:t xml:space="preserve">(a) Type A – Dose-related exaggeration of pharmacological effect</w:t>
      </w:r>
    </w:p>
    <w:p>
      <w:r>
        <w:t xml:space="preserve">(b) Type B – Unpredictable, dose-independent hypersensitivity reaction</w:t>
      </w:r>
    </w:p>
    <w:p>
      <w:r>
        <w:t xml:space="preserve">(c) Type C – Dose and time-dependent cumulative toxicity</w:t>
      </w:r>
    </w:p>
    <w:p>
      <w:r>
        <w:t xml:space="preserve">(d) Type D – Time-related delayed reaction occurring after weeks or months</w:t>
      </w:r>
    </w:p>
    <w:p>
      <w:r>
        <w:t xml:space="preserve">Answer: b</w:t>
      </w:r>
    </w:p>
    <w:p>
      <w:r>
        <w:t xml:space="preserve">Solution: This is a Type B ADR representing an unpredictable, dose-independent, IgE-mediated hypersensitivity reaction in a sensitized individual. The immediate onset (minutes) and immune mechanism are hallmark features. Type A reactions are dose-dependent (e.g., digoxin toxicity at high doses) representing exaggerated pharmacological effects. Type C reactions develop cumulatively from repeated dosing (e.g., methotrexate bone marrow suppression). Type D reactions are delayed immune-mediated effects manifesting weeks/months after exposure (e.g., drug-induced lupus). Memory aid: Type B = 'Bad/Body reacts' – the unpredictable immune reaction.</w:t>
      </w:r>
    </w:p>
    <w:p>
      <w:r>
        <w:t xml:space="preserve">Positive Marks: 1</w:t>
      </w:r>
    </w:p>
    <w:p>
      <w:r>
        <w:t xml:space="preserve">Negative Marks: 0.33</w:t>
      </w:r>
    </w:p>
    <w:sectPr>
      <w:pgSz w:w="11906" w:h="16838"/>
      <w:pgMar w:top="1134" w:right="1134" w:bottom="1134" w:left="1134"/>
    </w:sectPr>
  </w:body>
</w:document>
</file>