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mechanism of action of antispasmodic drugs?</w:t>
      </w:r>
    </w:p>
    <w:p>
      <w:r>
        <w:t xml:space="preserve">(a) Blocking muscarinic receptors</w:t>
      </w:r>
    </w:p>
    <w:p>
      <w:r>
        <w:t xml:space="preserve">(b) Blocking nicotinic receptors</w:t>
      </w:r>
    </w:p>
    <w:p>
      <w:r>
        <w:t xml:space="preserve">(c) Blocking alpha-adrenergic receptors</w:t>
      </w:r>
    </w:p>
    <w:p>
      <w:r>
        <w:t xml:space="preserve">(d) Blocking dopamine receptors</w:t>
      </w:r>
    </w:p>
    <w:p>
      <w:r>
        <w:t xml:space="preserve">Answer: a</w:t>
      </w:r>
    </w:p>
    <w:p>
      <w:r>
        <w:t xml:space="preserve">Solution: Antispasmodics work primarily by blocking muscarinic (M1, M3) receptors in the GI tract, reducing acetylcholine activity and relieving smooth muscle spasm. Nicotinic receptors (b) are not targeted by these agents. Alpha-adrenergic blockers (c) have different uses. Dopamine antagonists (d) are used for antiemesis, not antispasm. Memory aid: Antispasmodics = ANTIcholin-ERGIC (blocking acetylcholine at muscarinic sites).</w:t>
      </w:r>
    </w:p>
    <w:p>
      <w:r>
        <w:t xml:space="preserve">Positive Marks: 1</w:t>
      </w:r>
    </w:p>
    <w:p>
      <w:r>
        <w:t xml:space="preserve">Negative Marks: 0.33</w:t>
      </w:r>
    </w:p>
    <w:p/>
    <w:p>
      <w:r>
        <w:rPr>
          <w:b/>
        </w:rPr>
        <w:t xml:space="preserve">Question: Which of the following is NOT a 5-aminosalicylic acid (5-ASA) containing compound used in inflammatory bowel disease?</w:t>
      </w:r>
    </w:p>
    <w:p>
      <w:r>
        <w:t xml:space="preserve">(a) Mesalamine</w:t>
      </w:r>
    </w:p>
    <w:p>
      <w:r>
        <w:t xml:space="preserve">(b) Sulfasalazine</w:t>
      </w:r>
    </w:p>
    <w:p>
      <w:r>
        <w:t xml:space="preserve">(c) Olsalazine</w:t>
      </w:r>
    </w:p>
    <w:p>
      <w:r>
        <w:t xml:space="preserve">(d) Metronidazole</w:t>
      </w:r>
    </w:p>
    <w:p>
      <w:r>
        <w:t xml:space="preserve">Answer: d</w:t>
      </w:r>
    </w:p>
    <w:p>
      <w:r>
        <w:t xml:space="preserve">Solution: Metronidazole is an antibiotic used adjunctively in IBD (especially Crohn's disease), but it is not a 5-ASA compound. Mesalamine (a), sulfasalazine (b), and olsalazine (c) are all 5-ASA derivatives and are first-line treatments for IBD. Memory aid: 5-ASA drugs include MESALAMINE, SULFAsalazine, and OLsalazine—all containing the 5-ASA moiety.</w:t>
      </w:r>
    </w:p>
    <w:p>
      <w:r>
        <w:t xml:space="preserve">Positive Marks: 1</w:t>
      </w:r>
    </w:p>
    <w:p>
      <w:r>
        <w:t xml:space="preserve">Negative Marks: 0.33</w:t>
      </w:r>
    </w:p>
    <w:p/>
    <w:p>
      <w:r>
        <w:rPr>
          <w:b/>
        </w:rPr>
        <w:t xml:space="preserve">Question: Which of the following is a characteristic side effect of anticholinergic antispasmodics?</w:t>
      </w:r>
    </w:p>
    <w:p>
      <w:r>
        <w:t xml:space="preserve">(a) Miosis and salivation</w:t>
      </w:r>
    </w:p>
    <w:p>
      <w:r>
        <w:t xml:space="preserve">(b) Mydriasis and dry mouth</w:t>
      </w:r>
    </w:p>
    <w:p>
      <w:r>
        <w:t xml:space="preserve">(c) Bradycardia and bronchospasm</w:t>
      </w:r>
    </w:p>
    <w:p>
      <w:r>
        <w:t xml:space="preserve">(d) Hyperperistalsis and diarrhea</w:t>
      </w:r>
    </w:p>
    <w:p>
      <w:r>
        <w:t xml:space="preserve">Answer: b</w:t>
      </w:r>
    </w:p>
    <w:p>
      <w:r>
        <w:t xml:space="preserve">Solution: Anticholinergics block parasympathetic activity, causing mydriasis (pupil dilation) and reduced salivation leading to dry mouth. Miosis and salivation (a) are parasympathomimetic effects. Bradycardia and bronchospasm (c) are also parasympathomimetic. Hyperperistalsis (d) is opposite to anticholinergic effects. Memory: DRY anticholinergics—Dilated pupils, Reduced salivation, Yes to tachycardia.</w:t>
      </w:r>
    </w:p>
    <w:p>
      <w:r>
        <w:t xml:space="preserve">Positive Marks: 1</w:t>
      </w:r>
    </w:p>
    <w:p>
      <w:r>
        <w:t xml:space="preserve">Negative Marks: 0.33</w:t>
      </w:r>
    </w:p>
    <w:p/>
    <w:p>
      <w:r>
        <w:rPr>
          <w:b/>
        </w:rPr>
        <w:t xml:space="preserve">Question: Mesalamine is the active moiety released from sulfasalazine. What linkage connects mesalamine to sulfapyridine in the parent molecule?</w:t>
      </w:r>
    </w:p>
    <w:p>
      <w:r>
        <w:t xml:space="preserve">(a) Ester bond</w:t>
      </w:r>
    </w:p>
    <w:p>
      <w:r>
        <w:t xml:space="preserve">(b) Azo bond</w:t>
      </w:r>
    </w:p>
    <w:p>
      <w:r>
        <w:t xml:space="preserve">(c) Amide bond</w:t>
      </w:r>
    </w:p>
    <w:p>
      <w:r>
        <w:t xml:space="preserve">(d) Glycosidic bond</w:t>
      </w:r>
    </w:p>
    <w:p>
      <w:r>
        <w:t xml:space="preserve">Answer: b</w:t>
      </w:r>
    </w:p>
    <w:p>
      <w:r>
        <w:t xml:space="preserve">Solution: Sulfasalazine contains mesalamine (5-ASA) linked via an azo bond (–N=N–) to sulfapyridine. Colonic bacteria cleave this azo bond, releasing the active mesalamine. The other bonds (a, c, d) are not used in this structure. Memory aid: SULFAsalazine = SULFa + SALicylate linked by azo (–N=N–) for bacterial cleavage in the colon.</w:t>
      </w:r>
    </w:p>
    <w:p>
      <w:r>
        <w:t xml:space="preserve">Positive Marks: 1</w:t>
      </w:r>
    </w:p>
    <w:p>
      <w:r>
        <w:t xml:space="preserve">Negative Marks: 0.33</w:t>
      </w:r>
    </w:p>
    <w:p/>
    <w:p>
      <w:r>
        <w:rPr>
          <w:b/>
        </w:rPr>
        <w:t xml:space="preserve">Question: Dicyclomine is indicated for the management of which type of gastrointestinal disorder?</w:t>
      </w:r>
    </w:p>
    <w:p>
      <w:r>
        <w:t xml:space="preserve">(a) Peptic ulcer disease</w:t>
      </w:r>
    </w:p>
    <w:p>
      <w:r>
        <w:t xml:space="preserve">(b) Irritable bowel syndrome with cramping</w:t>
      </w:r>
    </w:p>
    <w:p>
      <w:r>
        <w:t xml:space="preserve">(c) Inflammatory bowel disease</w:t>
      </w:r>
    </w:p>
    <w:p>
      <w:r>
        <w:t xml:space="preserve">(d) Viral gastroenteritis</w:t>
      </w:r>
    </w:p>
    <w:p>
      <w:r>
        <w:t xml:space="preserve">Answer: b</w:t>
      </w:r>
    </w:p>
    <w:p>
      <w:r>
        <w:t xml:space="preserve">Solution: Dicyclomine is an anticholinergic antispasmodic used for symptomatic relief of IBS with abdominal pain and cramping. It is NOT appropriate for PUD (a) which requires acid suppression, IBD (c) which requires 5-ASA or immunosuppressants, or viral gastroenteritis (d) which is self-limited. Antispasmodics address functional pain, not inflammatory conditions.</w:t>
      </w:r>
    </w:p>
    <w:p>
      <w:r>
        <w:t xml:space="preserve">Positive Marks: 1</w:t>
      </w:r>
    </w:p>
    <w:p>
      <w:r>
        <w:t xml:space="preserve">Negative Marks: 0.33</w:t>
      </w:r>
    </w:p>
    <w:p/>
    <w:p>
      <w:r>
        <w:rPr>
          <w:b/>
        </w:rPr>
        <w:t xml:space="preserve">Question: Mesalamine in IBD has multiple formulations for targeted colonic delivery. Which formulation uses enteric coating with pH-dependent release?</w:t>
      </w:r>
    </w:p>
    <w:p>
      <w:r>
        <w:t xml:space="preserve">(a) Immediate-release solution</w:t>
      </w:r>
    </w:p>
    <w:p>
      <w:r>
        <w:t xml:space="preserve">(b) Time-released granules dissolving at pH &gt;6</w:t>
      </w:r>
    </w:p>
    <w:p>
      <w:r>
        <w:t xml:space="preserve">(c) Rectal suppositories</w:t>
      </w:r>
    </w:p>
    <w:p>
      <w:r>
        <w:t xml:space="preserve">(d) Extended-release capsules</w:t>
      </w:r>
    </w:p>
    <w:p>
      <w:r>
        <w:t xml:space="preserve">Answer: b</w:t>
      </w:r>
    </w:p>
    <w:p>
      <w:r>
        <w:t xml:space="preserve">Solution: Time-released mesalamine formulations use pH-dependent coating to dissolve at pH &gt;6, targeting release to the terminal ileum and colon where inflammation occurs. Immediate-release (a) dissolves in stomach. Rectal forms (c) are direct local delivery. Extended-release (d) uses time rather than pH targeting. Multiple delivery strategies maximize colonic drug concentration while minimizing proximal GI exposure.</w:t>
      </w:r>
    </w:p>
    <w:p>
      <w:r>
        <w:t xml:space="preserve">Positive Marks: 1</w:t>
      </w:r>
    </w:p>
    <w:p>
      <w:r>
        <w:t xml:space="preserve">Negative Marks: 0.33</w:t>
      </w:r>
    </w:p>
    <w:p/>
    <w:p>
      <w:r>
        <w:rPr>
          <w:b/>
        </w:rPr>
        <w:t xml:space="preserve">Question: What is the PRIMARY mechanism by which sulfasalazine produces its therapeutic anti-inflammatory effect in IBD?</w:t>
      </w:r>
    </w:p>
    <w:p>
      <w:r>
        <w:t xml:space="preserve">(a) Inhibition of bacterial protein synthesis</w:t>
      </w:r>
    </w:p>
    <w:p>
      <w:r>
        <w:t xml:space="preserve">(b) Inhibition of NF-κB and reduction of inflammatory mediators</w:t>
      </w:r>
    </w:p>
    <w:p>
      <w:r>
        <w:t xml:space="preserve">(c) Sulfonamide antimicrobial activity</w:t>
      </w:r>
    </w:p>
    <w:p>
      <w:r>
        <w:t xml:space="preserve">(d) Inhibition of cyclooxygenase enzymes</w:t>
      </w:r>
    </w:p>
    <w:p>
      <w:r>
        <w:t xml:space="preserve">Answer: b</w:t>
      </w:r>
    </w:p>
    <w:p>
      <w:r>
        <w:t xml:space="preserve">Solution: Sulfasalazine's therapeutic effect comes from the mesalamine (5-ASA) component, which inhibits NF-κB activation, suppressing pro-inflammatory cytokine production (TNF-α, IL-6, IL-8). While sulfasalazine has antibacterial properties (a, c), these are not responsible for IBD efficacy. COX inhibition (d) is not the primary mechanism. The azo bond must be cleaved by colonic bacteria to release active 5-ASA.</w:t>
      </w:r>
    </w:p>
    <w:p>
      <w:r>
        <w:t xml:space="preserve">Positive Marks: 1</w:t>
      </w:r>
    </w:p>
    <w:p>
      <w:r>
        <w:t xml:space="preserve">Negative Marks: 0.33</w:t>
      </w:r>
    </w:p>
    <w:p/>
    <w:p>
      <w:r>
        <w:rPr>
          <w:b/>
        </w:rPr>
        <w:t xml:space="preserve">Question: Azathioprine in IBD is primarily used for which clinical indication?</w:t>
      </w:r>
    </w:p>
    <w:p>
      <w:r>
        <w:t xml:space="preserve">(a) Treatment of acute severe exacerbations</w:t>
      </w:r>
    </w:p>
    <w:p>
      <w:r>
        <w:t xml:space="preserve">(b) Maintenance of remission and steroid-sparing effect</w:t>
      </w:r>
    </w:p>
    <w:p>
      <w:r>
        <w:t xml:space="preserve">(c) Symptomatic control of diarrhea</w:t>
      </w:r>
    </w:p>
    <w:p>
      <w:r>
        <w:t xml:space="preserve">(d) Rapid induction of remission</w:t>
      </w:r>
    </w:p>
    <w:p>
      <w:r>
        <w:t xml:space="preserve">Answer: b</w:t>
      </w:r>
    </w:p>
    <w:p>
      <w:r>
        <w:t xml:space="preserve">Solution: Azathioprine is an immunosuppressant used for long-term maintenance of remission and as a steroid-sparing agent, not for acute therapy (a, d). Its onset is slow (6–12 weeks), making it unsuitable for acute flares. It does not directly control symptoms like diarrhea (c). Its primary value is allowing reduction of corticosteroid doses to prevent chronic steroid toxicity.</w:t>
      </w:r>
    </w:p>
    <w:p>
      <w:r>
        <w:t xml:space="preserve">Positive Marks: 1</w:t>
      </w:r>
    </w:p>
    <w:p>
      <w:r>
        <w:t xml:space="preserve">Negative Marks: 0.33</w:t>
      </w:r>
    </w:p>
    <w:p/>
    <w:p>
      <w:r>
        <w:rPr>
          <w:b/>
        </w:rPr>
        <w:t xml:space="preserve">Question: In moderate to severe IBD, corticosteroids are used for induction of remission. Which statement is TRUE regarding their duration of use?</w:t>
      </w:r>
    </w:p>
    <w:p>
      <w:r>
        <w:t xml:space="preserve">(a) Can be used long-term for maintenance therapy</w:t>
      </w:r>
    </w:p>
    <w:p>
      <w:r>
        <w:t xml:space="preserve">(b) Should be tapered gradually after 8–12 weeks of induction</w:t>
      </w:r>
    </w:p>
    <w:p>
      <w:r>
        <w:t xml:space="preserve">(c) Are preferred over 5-ASA for mild disease</w:t>
      </w:r>
    </w:p>
    <w:p>
      <w:r>
        <w:t xml:space="preserve">(d) Require no tapering if discontinued abruptly</w:t>
      </w:r>
    </w:p>
    <w:p>
      <w:r>
        <w:t xml:space="preserve">Answer: b</w:t>
      </w:r>
    </w:p>
    <w:p>
      <w:r>
        <w:t xml:space="preserve">Solution: Corticosteroids are used for short-term induction (8–12 weeks maximum) and must be gradually tapered to prevent adrenal insufficiency. Long-term use (a) causes significant toxicity. 5-ASA (c) are preferred for mild disease. Abrupt discontinuation (d) risks adrenal crisis. The key is slow tapering to restore hypothalamic-pituitary-adrenal axis function.</w:t>
      </w:r>
    </w:p>
    <w:p>
      <w:r>
        <w:t xml:space="preserve">Positive Marks: 1</w:t>
      </w:r>
    </w:p>
    <w:p>
      <w:r>
        <w:t xml:space="preserve">Negative Marks: 0.33</w:t>
      </w:r>
    </w:p>
    <w:p/>
    <w:p>
      <w:r>
        <w:rPr>
          <w:b/>
        </w:rPr>
        <w:t xml:space="preserve">Question: Which anticholinergic side effect is of particular clinical concern when using antispasmodics in elderly patients?</w:t>
      </w:r>
    </w:p>
    <w:p>
      <w:r>
        <w:t xml:space="preserve">(a) Increased salivation</w:t>
      </w:r>
    </w:p>
    <w:p>
      <w:r>
        <w:t xml:space="preserve">(b) Urinary retention and constipation</w:t>
      </w:r>
    </w:p>
    <w:p>
      <w:r>
        <w:t xml:space="preserve">(c) Hypotension and reflex bradycardia</w:t>
      </w:r>
    </w:p>
    <w:p>
      <w:r>
        <w:t xml:space="preserve">(d) Bronchospasm and respiratory distress</w:t>
      </w:r>
    </w:p>
    <w:p>
      <w:r>
        <w:t xml:space="preserve">Answer: b</w:t>
      </w:r>
    </w:p>
    <w:p>
      <w:r>
        <w:t xml:space="preserve">Solution: Elderly patients are at high risk for serious anticholinergic adverse effects, particularly urinary retention (especially in benign prostatic hyperplasia) and constipation leading to fecal impaction. Increased salivation (a) is opposite to anticholinergic effects. Hypotension and bradycardia (c) are parasympathomimetic effects. Bronchospasm (d) occurs with cholinergic excess. Elderly should use anticholinergics cautiously with close monitoring.</w:t>
      </w:r>
    </w:p>
    <w:p>
      <w:r>
        <w:t xml:space="preserve">Positive Marks: 1</w:t>
      </w:r>
    </w:p>
    <w:p>
      <w:r>
        <w:t xml:space="preserve">Negative Marks: 0.33</w:t>
      </w:r>
    </w:p>
    <w:p/>
    <w:p>
      <w:r>
        <w:rPr>
          <w:b/>
        </w:rPr>
        <w:t xml:space="preserve">Question: During therapy with azathioprine for IBD, which laboratory parameters require regular monitoring to detect serious toxicity?</w:t>
      </w:r>
    </w:p>
    <w:p>
      <w:r>
        <w:t xml:space="preserve">(a) Blood glucose and HbA1c weekly</w:t>
      </w:r>
    </w:p>
    <w:p>
      <w:r>
        <w:t xml:space="preserve">(b) Complete blood count and liver function tests</w:t>
      </w:r>
    </w:p>
    <w:p>
      <w:r>
        <w:t xml:space="preserve">(c) Serum creatinine and urinalysis only</w:t>
      </w:r>
    </w:p>
    <w:p>
      <w:r>
        <w:t xml:space="preserve">(d) Lipid profile and thyroid function monthly</w:t>
      </w:r>
    </w:p>
    <w:p>
      <w:r>
        <w:t xml:space="preserve">Answer: b</w:t>
      </w:r>
    </w:p>
    <w:p>
      <w:r>
        <w:t xml:space="preserve">Solution: Azathioprine can cause bone marrow suppression (leukopenia, thrombocytopenia, anemia) and hepatotoxicity, requiring regular CBC and LFTs. Blood glucose (a) does not require routine monitoring. Serum creatinine (c) is monitored but not the primary concern. Lipids and thyroid (d) are not standard monitoring. Labs should be checked at baseline, weeks 2–4, then every 3 months during maintenance.</w:t>
      </w:r>
    </w:p>
    <w:p>
      <w:r>
        <w:t xml:space="preserve">Positive Marks: 1</w:t>
      </w:r>
    </w:p>
    <w:p>
      <w:r>
        <w:t xml:space="preserve">Negative Marks: 0.33</w:t>
      </w:r>
    </w:p>
    <w:p/>
    <w:p>
      <w:r>
        <w:rPr>
          <w:b/>
        </w:rPr>
        <w:t xml:space="preserve">Question: Infliximab, a TNF-alpha inhibitor, is used in severe IBD. Which is the most important concern regarding its use?</w:t>
      </w:r>
    </w:p>
    <w:p>
      <w:r>
        <w:t xml:space="preserve">(a) Development of hypertension and hyperglycemia</w:t>
      </w:r>
    </w:p>
    <w:p>
      <w:r>
        <w:t xml:space="preserve">(b) Increased risk of infections, including tuberculosis reactivation</w:t>
      </w:r>
    </w:p>
    <w:p>
      <w:r>
        <w:t xml:space="preserve">(c) Acute kidney injury and electrolyte disturbances</w:t>
      </w:r>
    </w:p>
    <w:p>
      <w:r>
        <w:t xml:space="preserve">(d) Severe thrombocytopenia and bleeding</w:t>
      </w:r>
    </w:p>
    <w:p>
      <w:r>
        <w:t xml:space="preserve">Answer: b</w:t>
      </w:r>
    </w:p>
    <w:p>
      <w:r>
        <w:t xml:space="preserve">Solution: TNF-alpha is critical for immune function; its inhibition significantly increases infection risk, including reactivation of latent tuberculosis. TB screening (TST or IGRA) and prophylaxis are mandatory before starting TNF inhibitors. Hypertension and hyperglycemia (a) are not typical. AKI (c) and thrombocytopenia (d) are not major concerns. Memory: TNF blockade = severe immune suppression.</w:t>
      </w:r>
    </w:p>
    <w:p>
      <w:r>
        <w:t xml:space="preserve">Positive Marks: 1</w:t>
      </w:r>
    </w:p>
    <w:p>
      <w:r>
        <w:t xml:space="preserve">Negative Marks: 0.33</w:t>
      </w:r>
    </w:p>
    <w:p/>
    <w:p>
      <w:r>
        <w:rPr>
          <w:b/>
        </w:rPr>
        <w:t xml:space="preserve">Question: A patient with ulcerative colitis is being treated with olsalazine. What is an important dietary and hydration consideration?</w:t>
      </w:r>
    </w:p>
    <w:p>
      <w:r>
        <w:t xml:space="preserve">(a) Take with acidic beverages to enhance absorption</w:t>
      </w:r>
    </w:p>
    <w:p>
      <w:r>
        <w:t xml:space="preserve">(b) Take with fatty meals to improve bioavailability</w:t>
      </w:r>
    </w:p>
    <w:p>
      <w:r>
        <w:t xml:space="preserve">(c) Maintain adequate water intake and frequent hydration</w:t>
      </w:r>
    </w:p>
    <w:p>
      <w:r>
        <w:t xml:space="preserve">(d) Avoid all fresh fruits and vegetables</w:t>
      </w:r>
    </w:p>
    <w:p>
      <w:r>
        <w:t xml:space="preserve">Answer: c</w:t>
      </w:r>
    </w:p>
    <w:p>
      <w:r>
        <w:t xml:space="preserve">Solution: Olsalazine commonly causes diarrhea, requiring adequate hydration and fluid intake to prevent electrolyte imbalance and dehydration. Acidic drinks (a) do not enhance absorption. Fatty meals (b) do not improve effect. Vegetables (d) should not be restricted. Adequate water and electrolyte intake is essential during olsalazine therapy to manage diarrhea.</w:t>
      </w:r>
    </w:p>
    <w:p>
      <w:r>
        <w:t xml:space="preserve">Positive Marks: 1</w:t>
      </w:r>
    </w:p>
    <w:p>
      <w:r>
        <w:t xml:space="preserve">Negative Marks: 0.33</w:t>
      </w:r>
    </w:p>
    <w:p/>
    <w:p>
      <w:r>
        <w:rPr>
          <w:b/>
        </w:rPr>
        <w:t xml:space="preserve">Question: Sulfasalazine undergoes hepatic N-acetylation. Patients who are slow acetylators are at increased risk for which specific adverse effect?</w:t>
      </w:r>
    </w:p>
    <w:p>
      <w:r>
        <w:t xml:space="preserve">(a) Severe hepatotoxicity and cirrhosis</w:t>
      </w:r>
    </w:p>
    <w:p>
      <w:r>
        <w:t xml:space="preserve">(b) Hypersensitivity reactions including rash, fever, and lymphadenopathy</w:t>
      </w:r>
    </w:p>
    <w:p>
      <w:r>
        <w:t xml:space="preserve">(c) Acute coronary syndrome and arrhythmias</w:t>
      </w:r>
    </w:p>
    <w:p>
      <w:r>
        <w:t xml:space="preserve">(d) Severe osteoporosis and pathological fractures</w:t>
      </w:r>
    </w:p>
    <w:p>
      <w:r>
        <w:t xml:space="preserve">Answer: b</w:t>
      </w:r>
    </w:p>
    <w:p>
      <w:r>
        <w:t xml:space="preserve">Solution: Slow acetylators accumulate the parent sulfasalazine molecule and have significantly increased risk of hypersensitivity reactions (exanthematous rash, fever, lymphadenopathy, hepatitis). Fast acetylators convert sulfasalazine to inactive acetylated metabolites, reducing adverse effects. Hepatotoxicity (a) is rare and not acetylator-specific. Cardiac (c) and bone (d) complications are not typical. This represents important pharmacogenetic variation.</w:t>
      </w:r>
    </w:p>
    <w:p>
      <w:r>
        <w:t xml:space="preserve">Positive Marks: 1</w:t>
      </w:r>
    </w:p>
    <w:p>
      <w:r>
        <w:t xml:space="preserve">Negative Marks: 0.33</w:t>
      </w:r>
    </w:p>
    <w:p/>
    <w:p>
      <w:r>
        <w:rPr>
          <w:b/>
        </w:rPr>
        <w:t xml:space="preserve">Question: A 35-year-old male with Crohn's disease develops fever, night sweats, and productive cough two weeks after starting infliximab. Chest X-ray shows bilateral lower lobe infiltrates. What is the most likely diagnosis?</w:t>
      </w:r>
    </w:p>
    <w:p>
      <w:r>
        <w:t xml:space="preserve">(a) Community-acquired bacterial pneumonia</w:t>
      </w:r>
    </w:p>
    <w:p>
      <w:r>
        <w:t xml:space="preserve">(b) Mycobacterium tuberculosis reactivation</w:t>
      </w:r>
    </w:p>
    <w:p>
      <w:r>
        <w:t xml:space="preserve">(c) Opportunistic fungal infection from immune suppression</w:t>
      </w:r>
    </w:p>
    <w:p>
      <w:r>
        <w:t xml:space="preserve">(d) Drug-induced hypersensitivity pneumonitis</w:t>
      </w:r>
    </w:p>
    <w:p>
      <w:r>
        <w:t xml:space="preserve">Answer: b</w:t>
      </w:r>
    </w:p>
    <w:p>
      <w:r>
        <w:t xml:space="preserve">Solution: Infliximab dramatically increases TB risk, particularly reactivation of latent infection, typically occurring within weeks to months of initiating therapy. The progressive fever, night sweats, cough, and pulmonary infiltrates are classic for tuberculosis. CAP (a) is possible but less likely given the temporal relationship. Fungal (c) and drug reaction (d) are less common presentations. TB screening before TNF inhibitor initiation is mandatory.</w:t>
      </w:r>
    </w:p>
    <w:p>
      <w:r>
        <w:t xml:space="preserve">Positive Marks: 1</w:t>
      </w:r>
    </w:p>
    <w:p>
      <w:r>
        <w:t xml:space="preserve">Negative Marks: 0.33</w:t>
      </w:r>
    </w:p>
    <w:p/>
    <w:p>
      <w:r>
        <w:rPr>
          <w:b/>
        </w:rPr>
        <w:t xml:space="preserve">Question: Mesalamine's anti-inflammatory mechanism in IBD involves inhibition of which key transcription factor responsible for pro-inflammatory cytokine production?</w:t>
      </w:r>
    </w:p>
    <w:p>
      <w:r>
        <w:t xml:space="preserve">(a) Signal transducer and activator of transcription-3 (STAT-3)</w:t>
      </w:r>
    </w:p>
    <w:p>
      <w:r>
        <w:t xml:space="preserve">(b) Nuclear factor-kappa B (NF-κB)</w:t>
      </w:r>
    </w:p>
    <w:p>
      <w:r>
        <w:t xml:space="preserve">(c) Activator protein-1 (AP-1)</w:t>
      </w:r>
    </w:p>
    <w:p>
      <w:r>
        <w:t xml:space="preserve">(d) cAMP response element binding protein (CREB)</w:t>
      </w:r>
    </w:p>
    <w:p>
      <w:r>
        <w:t xml:space="preserve">Answer: b</w:t>
      </w:r>
    </w:p>
    <w:p>
      <w:r>
        <w:t xml:space="preserve">Solution: 5-ASA (mesalamine) inhibits NF-κB activation, which is the master transcription factor controlling pro-inflammatory cytokine production (TNF-α, IL-6, IL-8, IL-12). STAT-3 (a) is involved in Th17 differentiation but is not the primary 5-ASA target. AP-1 (c) has roles in inflammation but not the established mechanism. CREB (d) regulates cAMP-responsive genes. This molecular mechanism explains 5-ASA efficacy.</w:t>
      </w:r>
    </w:p>
    <w:p>
      <w:r>
        <w:t xml:space="preserve">Positive Marks: 1</w:t>
      </w:r>
    </w:p>
    <w:p>
      <w:r>
        <w:t xml:space="preserve">Negative Marks: 0.33</w:t>
      </w:r>
    </w:p>
    <w:p/>
    <w:p>
      <w:r>
        <w:rPr>
          <w:b/>
        </w:rPr>
        <w:t xml:space="preserve">Question: A patient on long-term dicyclomine therapy develops acute angle-closure glaucoma. What is the pharmacological mechanism behind this drug-induced complication?</w:t>
      </w:r>
    </w:p>
    <w:p>
      <w:r>
        <w:t xml:space="preserve">(a) Increased aqueous humor production by ciliary body</w:t>
      </w:r>
    </w:p>
    <w:p>
      <w:r>
        <w:t xml:space="preserve">(b) Mydriasis causing pupil-block mechanism and trabecular meshwork obstruction</w:t>
      </w:r>
    </w:p>
    <w:p>
      <w:r>
        <w:t xml:space="preserve">(c) Direct retinal toxicity and photoreceptor damage</w:t>
      </w:r>
    </w:p>
    <w:p>
      <w:r>
        <w:t xml:space="preserve">(d) Choroidal ischemia and reduced ocular perfusion</w:t>
      </w:r>
    </w:p>
    <w:p>
      <w:r>
        <w:t xml:space="preserve">Answer: b</w:t>
      </w:r>
    </w:p>
    <w:p>
      <w:r>
        <w:t xml:space="preserve">Solution: Anticholinergics cause mydriasis (pupil dilation), which in susceptible eyes with narrow angles precipitates angle-closure glaucoma through the pupil-block mechanism—the dilated iris physically blocks the trabecular meshwork, impeding aqueous humor drainage and raising intraocular pressure. Aqueous production (a) is not increased. Retinal toxicity (c) and choroidal ischemia (d) are not mechanisms. Angle-closure glaucoma is a contraindication to anticholinergics.</w:t>
      </w:r>
    </w:p>
    <w:p>
      <w:r>
        <w:t xml:space="preserve">Positive Marks: 1</w:t>
      </w:r>
    </w:p>
    <w:p>
      <w:r>
        <w:t xml:space="preserve">Negative Marks: 0.33</w:t>
      </w:r>
    </w:p>
    <w:p/>
    <w:p>
      <w:r>
        <w:rPr>
          <w:b/>
        </w:rPr>
        <w:t xml:space="preserve">Question: Which immunosuppressant used in IBD has a major advantage of rapid onset (days to weeks), unlike azathioprine which requires 6–12 weeks to be effective?</w:t>
      </w:r>
    </w:p>
    <w:p>
      <w:r>
        <w:t xml:space="preserve">(a) Mycophenolate mofetil</w:t>
      </w:r>
    </w:p>
    <w:p>
      <w:r>
        <w:t xml:space="preserve">(b) Cyclosporine</w:t>
      </w:r>
    </w:p>
    <w:p>
      <w:r>
        <w:t xml:space="preserve">(c) Tacrolimus</w:t>
      </w:r>
    </w:p>
    <w:p>
      <w:r>
        <w:t xml:space="preserve">(d) 6-mercaptopurine</w:t>
      </w:r>
    </w:p>
    <w:p>
      <w:r>
        <w:t xml:space="preserve">Answer: b</w:t>
      </w:r>
    </w:p>
    <w:p>
      <w:r>
        <w:t xml:space="preserve">Solution: Cyclosporine has a rapid onset of action (days to 2–3 weeks) and is effective for severe steroid-refractory ulcerative colitis, useful in acute settings before transitioning to slower agents. Azathioprine (d) and mycophenolate (a) are slow-acting (6–12 weeks). Tacrolimus (c) is faster than aza but slower than cyclosporine. Cyclosporine's rapid action makes it valuable for life-threatening disease exacerbations.</w:t>
      </w:r>
    </w:p>
    <w:p>
      <w:r>
        <w:t xml:space="preserve">Positive Marks: 1</w:t>
      </w:r>
    </w:p>
    <w:p>
      <w:r>
        <w:t xml:space="preserve">Negative Marks: 0.33</w:t>
      </w:r>
    </w:p>
    <w:p/>
    <w:p>
      <w:r>
        <w:rPr>
          <w:b/>
        </w:rPr>
        <w:t xml:space="preserve">Question: A patient taking mesalamine for ulcerative colitis develops crystalline nephropathy with elevated serum creatinine and urinary crystals. What is the likely mechanism of renal injury?</w:t>
      </w:r>
    </w:p>
    <w:p>
      <w:r>
        <w:t xml:space="preserve">(a) Direct glomerulonephritis from immune complex deposition</w:t>
      </w:r>
    </w:p>
    <w:p>
      <w:r>
        <w:t xml:space="preserve">(b) Interstitial nephritis and crystal-induced acute kidney injury</w:t>
      </w:r>
    </w:p>
    <w:p>
      <w:r>
        <w:t xml:space="preserve">(c) Prerenal azotemia secondary to volume depletion</w:t>
      </w:r>
    </w:p>
    <w:p>
      <w:r>
        <w:t xml:space="preserve">(d) Acute tubular necrosis from drug metabolite toxicity</w:t>
      </w:r>
    </w:p>
    <w:p>
      <w:r>
        <w:t xml:space="preserve">Answer: b</w:t>
      </w:r>
    </w:p>
    <w:p>
      <w:r>
        <w:t xml:space="preserve">Solution: Mesalamine can cause interstitial nephritis and crystal-induced acute kidney injury through mesalamine-related crystal deposition in renal tubules—an uncommon but recognized adverse effect requiring dose adjustment or discontinuation. Glomerulonephritis (a) and prerenal azotemia (c) are less likely etiologies. ATN (d) is not the typical pattern. Baseline renal function should be checked, with periodic monitoring of serum creatinine.</w:t>
      </w:r>
    </w:p>
    <w:p>
      <w:r>
        <w:t xml:space="preserve">Positive Marks: 1</w:t>
      </w:r>
    </w:p>
    <w:p>
      <w:r>
        <w:t xml:space="preserve">Negative Marks: 0.33</w:t>
      </w:r>
    </w:p>
    <w:p/>
    <w:p>
      <w:r>
        <w:rPr>
          <w:b/>
        </w:rPr>
        <w:t xml:space="preserve">Question: In a patient with extensive ulcerative colitis failing 5-ASA and corticosteroids, which combination therapy represents the most appropriate next step for remission induction before considering biologic agents?</w:t>
      </w:r>
    </w:p>
    <w:p>
      <w:r>
        <w:t xml:space="preserve">(a) Azathioprine monotherapy</w:t>
      </w:r>
    </w:p>
    <w:p>
      <w:r>
        <w:t xml:space="preserve">(b) Corticosteroids plus mesalamine without immunosuppressants</w:t>
      </w:r>
    </w:p>
    <w:p>
      <w:r>
        <w:t xml:space="preserve">(c) Corticosteroids plus azathioprine</w:t>
      </w:r>
    </w:p>
    <w:p>
      <w:r>
        <w:t xml:space="preserve">(d) Mesalamine plus dicyclomine for symptom control</w:t>
      </w:r>
    </w:p>
    <w:p>
      <w:r>
        <w:t xml:space="preserve">Answer: c</w:t>
      </w:r>
    </w:p>
    <w:p>
      <w:r>
        <w:t xml:space="preserve">Solution: The stepwise approach for moderate-to-severe UC follows an escalation protocol: 5-ASA → corticosteroids → corticosteroids + immunosuppressants (azathioprine or 6-MP) → biologics (TNF inhibitors or anti-integrin). This combination allows steroid tapering while maintaining remission via synergistic immunosuppression. Azathioprine alone (a) is too slow. Corticosteroids + mesalamine (b) is inadequate for refractory disease. Dicyclomine (d) addresses symptoms but not inflammation. This represents standard therapeutic escalation.</w:t>
      </w:r>
    </w:p>
    <w:p>
      <w:r>
        <w:t xml:space="preserve">Positive Marks: 1</w:t>
      </w:r>
    </w:p>
    <w:p>
      <w:r>
        <w:t xml:space="preserve">Negative Marks: 0.33</w:t>
      </w:r>
    </w:p>
    <w:sectPr>
      <w:pgSz w:w="11906" w:h="16838"/>
      <w:pgMar w:top="1134" w:right="1134" w:bottom="1134" w:left="1134"/>
    </w:sectPr>
  </w:body>
</w:document>
</file>