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bisphosphonate is approved for once-weekly oral administration in osteoporosis and is a preferred first-line choice for postmenopausal women?</w:t>
      </w:r>
    </w:p>
    <w:p>
      <w:r>
        <w:t xml:space="preserve">(a) Alendronate</w:t>
      </w:r>
    </w:p>
    <w:p>
      <w:r>
        <w:t xml:space="preserve">(b) Risedronate</w:t>
      </w:r>
    </w:p>
    <w:p>
      <w:r>
        <w:t xml:space="preserve">(c) Ibandronate</w:t>
      </w:r>
    </w:p>
    <w:p>
      <w:r>
        <w:t xml:space="preserve">(d) Clodronate</w:t>
      </w:r>
    </w:p>
    <w:p>
      <w:r>
        <w:t xml:space="preserve">Answer: a</w:t>
      </w:r>
    </w:p>
    <w:p>
      <w:r>
        <w:t xml:space="preserve">Solution: Alendronate (Fosamx) 70 mg once-weekly is the most commonly prescribed and recommended first-line bisphosphonate for postmenopausal osteoporosis due to proven efficacy in reducing vertebral and hip fractures. Risedronate requires twice-weekly dosing making it less convenient. Ibandronate is less frequently used and requires specific dosing schedules. Clodronate is primarily used for bone metastases, not primary osteoporosis. MNEMONIC: 'A for Alendronate = Approved first-line'.</w:t>
      </w:r>
    </w:p>
    <w:p>
      <w:r>
        <w:t xml:space="preserve">Positive Marks: 1</w:t>
      </w:r>
    </w:p>
    <w:p>
      <w:r>
        <w:t xml:space="preserve">Negative Marks: 0.33</w:t>
      </w:r>
    </w:p>
    <w:p/>
    <w:p>
      <w:r>
        <w:rPr>
          <w:b/>
        </w:rPr>
        <w:t xml:space="preserve">Question: Vitamin D deficiency impairs bone health primarily by reducing which of the following?</w:t>
      </w:r>
    </w:p>
    <w:p>
      <w:r>
        <w:t xml:space="preserve">(a) Intestinal calcium absorption</w:t>
      </w:r>
    </w:p>
    <w:p>
      <w:r>
        <w:t xml:space="preserve">(b) Osteocyte activity</w:t>
      </w:r>
    </w:p>
    <w:p>
      <w:r>
        <w:t xml:space="preserve">(c) Collagen synthesis</w:t>
      </w:r>
    </w:p>
    <w:p>
      <w:r>
        <w:t xml:space="preserve">(d) Parathyroid hormone secretion</w:t>
      </w:r>
    </w:p>
    <w:p>
      <w:r>
        <w:t xml:space="preserve">Answer: a</w:t>
      </w:r>
    </w:p>
    <w:p>
      <w:r>
        <w:t xml:space="preserve">Solution: Vitamin D is essential for intestinal calcium absorption through upregulation of calcium-binding proteins and enhances mucosal permeability. Without adequate vitamin D, even with sufficient dietary calcium intake, absorption is severely compromised. Osteocyte activity is normal without vitamin D deficiency. Collagen synthesis is primarily affected by vitamin C deficiency. PTH secretion increases (not decreases) when vitamin D is deficient due to secondary hyperparathyroidism.</w:t>
      </w:r>
    </w:p>
    <w:p>
      <w:r>
        <w:t xml:space="preserve">Positive Marks: 1</w:t>
      </w:r>
    </w:p>
    <w:p>
      <w:r>
        <w:t xml:space="preserve">Negative Marks: 0.33</w:t>
      </w:r>
    </w:p>
    <w:p/>
    <w:p>
      <w:r>
        <w:rPr>
          <w:b/>
        </w:rPr>
        <w:t xml:space="preserve">Question: Which calcium supplement formulation has better bioavailability on an empty stomach and is preferred for patients with achlorhydria?</w:t>
      </w:r>
    </w:p>
    <w:p>
      <w:r>
        <w:t xml:space="preserve">(a) Calcium carbonate</w:t>
      </w:r>
    </w:p>
    <w:p>
      <w:r>
        <w:t xml:space="preserve">(b) Calcium citrate</w:t>
      </w:r>
    </w:p>
    <w:p>
      <w:r>
        <w:t xml:space="preserve">(c) Calcium phosphate</w:t>
      </w:r>
    </w:p>
    <w:p>
      <w:r>
        <w:t xml:space="preserve">(d) Calcium gluconate</w:t>
      </w:r>
    </w:p>
    <w:p>
      <w:r>
        <w:t xml:space="preserve">Answer: b</w:t>
      </w:r>
    </w:p>
    <w:p>
      <w:r>
        <w:t xml:space="preserve">Solution: Calcium citrate has superior bioavailability regardless of gastric pH and does not require gastric acid for absorption, making it the choice for achlorhydria or patients on proton pump inhibitors. Calcium carbonate requires an acidic environment for dissolution and absorption, making it ineffective in achlorhydria. Calcium phosphate has limited bioavailability. Calcium gluconate is primarily used for intravenous therapy in hypocalcemia emergencies. MNEMONIC: 'Citrate works in all conditions'.</w:t>
      </w:r>
    </w:p>
    <w:p>
      <w:r>
        <w:t xml:space="preserve">Positive Marks: 1</w:t>
      </w:r>
    </w:p>
    <w:p>
      <w:r>
        <w:t xml:space="preserve">Negative Marks: 0.33</w:t>
      </w:r>
    </w:p>
    <w:p/>
    <w:p>
      <w:r>
        <w:rPr>
          <w:b/>
        </w:rPr>
        <w:t xml:space="preserve">Question: A 65-year-old postmenopausal woman presents with a T-score of -2.8 at the femoral neck. What is the indication for osteoporosis drug therapy?</w:t>
      </w:r>
    </w:p>
    <w:p>
      <w:r>
        <w:t xml:space="preserve">(a) T-score less than -1.0</w:t>
      </w:r>
    </w:p>
    <w:p>
      <w:r>
        <w:t xml:space="preserve">(b) T-score less than -1.5</w:t>
      </w:r>
    </w:p>
    <w:p>
      <w:r>
        <w:t xml:space="preserve">(c) T-score less than -2.5</w:t>
      </w:r>
    </w:p>
    <w:p>
      <w:r>
        <w:t xml:space="preserve">(d) T-score less than -3.0</w:t>
      </w:r>
    </w:p>
    <w:p>
      <w:r>
        <w:t xml:space="preserve">Answer: c</w:t>
      </w:r>
    </w:p>
    <w:p>
      <w:r>
        <w:t xml:space="preserve">Solution: According to WHO diagnostic criteria, osteoporosis is defined as a T-score of -2.5 or lower (irrespective of whether previous fragility fractures have occurred). T-score between -1.0 and -2.5 defines osteopenia requiring monitoring and lifestyle modifications. T-score &gt; -1.0 is normal bone density. The given T-score of -2.8 meets criteria for osteoporosis treatment.</w:t>
      </w:r>
    </w:p>
    <w:p>
      <w:r>
        <w:t xml:space="preserve">Positive Marks: 1</w:t>
      </w:r>
    </w:p>
    <w:p>
      <w:r>
        <w:t xml:space="preserve">Negative Marks: 0.33</w:t>
      </w:r>
    </w:p>
    <w:p/>
    <w:p>
      <w:r>
        <w:rPr>
          <w:b/>
        </w:rPr>
        <w:t xml:space="preserve">Question: Which mechanism of action is NOT characteristic of bisphosphonates in treating osteoporosis?</w:t>
      </w:r>
    </w:p>
    <w:p>
      <w:r>
        <w:t xml:space="preserve">(a) Inhibition of osteoclast resorption</w:t>
      </w:r>
    </w:p>
    <w:p>
      <w:r>
        <w:t xml:space="preserve">(b) Promotion of osteoblast activity</w:t>
      </w:r>
    </w:p>
    <w:p>
      <w:r>
        <w:t xml:space="preserve">(c) Induction of osteoclast apoptosis</w:t>
      </w:r>
    </w:p>
    <w:p>
      <w:r>
        <w:t xml:space="preserve">(d) Prevention of farnesyl pyrophosphate synthesis</w:t>
      </w:r>
    </w:p>
    <w:p>
      <w:r>
        <w:t xml:space="preserve">Answer: b</w:t>
      </w:r>
    </w:p>
    <w:p>
      <w:r>
        <w:t xml:space="preserve">Solution: Bisphosphonates primarily inhibit osteoclast function, induce apoptosis in mature osteoclasts, and block farnesyl pyrophosphate synthase in the mevalonate pathway—but they do NOT actively promote osteoblast differentiation or activity. They are anti-resorptive agents, not bone-formation promoters. Osteoblast promotion is the mechanism of teriparatide (PTH analog). Confusion arises because increased bone density may appear, but this is due to reduced resorption, not increased formation.</w:t>
      </w:r>
    </w:p>
    <w:p>
      <w:r>
        <w:t xml:space="preserve">Positive Marks: 1</w:t>
      </w:r>
    </w:p>
    <w:p>
      <w:r>
        <w:t xml:space="preserve">Negative Marks: 0.33</w:t>
      </w:r>
    </w:p>
    <w:p/>
    <w:p>
      <w:r>
        <w:rPr>
          <w:b/>
        </w:rPr>
        <w:t xml:space="preserve">Question: A patient on alendronate develops severe jaw pain and exposed bone. This serious adverse effect is known as drug-related osteonecrosis of the jaw (DRONJ). What is the primary pathophysiology?</w:t>
      </w:r>
    </w:p>
    <w:p>
      <w:r>
        <w:t xml:space="preserve">(a) Direct cytotoxic injury to osteocytes</w:t>
      </w:r>
    </w:p>
    <w:p>
      <w:r>
        <w:t xml:space="preserve">(b) Impaired osteoclast-mediated bone remodeling and angiogenesis</w:t>
      </w:r>
    </w:p>
    <w:p>
      <w:r>
        <w:t xml:space="preserve">(c) Allergy-mediated bone inflammation</w:t>
      </w:r>
    </w:p>
    <w:p>
      <w:r>
        <w:t xml:space="preserve">(d) Hypercalcemia-induced soft tissue necrosis</w:t>
      </w:r>
    </w:p>
    <w:p>
      <w:r>
        <w:t xml:space="preserve">Answer: b</w:t>
      </w:r>
    </w:p>
    <w:p>
      <w:r>
        <w:t xml:space="preserve">Solution: DRONJ occurs due to bisphosphonate accumulation in bone and suppression of bone turnover/angiogenesis, impairing the jaw's ability to respond to trauma or infection with normal bone remodeling. The mechanism involves impaired osteoclast function leading to reduced blood supply and inability to remove damaged bone. Direct cytotoxicity is not the primary mechanism. Allergic reactions and hypercalcemia are not involved. Risk increases with dental procedures, prolonged therapy, and intravenous formulations.</w:t>
      </w:r>
    </w:p>
    <w:p>
      <w:r>
        <w:t xml:space="preserve">Positive Marks: 1</w:t>
      </w:r>
    </w:p>
    <w:p>
      <w:r>
        <w:t xml:space="preserve">Negative Marks: 0.33</w:t>
      </w:r>
    </w:p>
    <w:p/>
    <w:p>
      <w:r>
        <w:rPr>
          <w:b/>
        </w:rPr>
        <w:t xml:space="preserve">Question: Which drug for osteoporosis should be taken on an empty stomach, 30 minutes before breakfast, with a full glass of plain water to ensure optimal absorption?</w:t>
      </w:r>
    </w:p>
    <w:p>
      <w:r>
        <w:t xml:space="preserve">(a) Calcium supplement</w:t>
      </w:r>
    </w:p>
    <w:p>
      <w:r>
        <w:t xml:space="preserve">(b) Vitamin D3</w:t>
      </w:r>
    </w:p>
    <w:p>
      <w:r>
        <w:t xml:space="preserve">(c) Bisphosphonates (oral)</w:t>
      </w:r>
    </w:p>
    <w:p>
      <w:r>
        <w:t xml:space="preserve">(d) Calcitonin nasal spray</w:t>
      </w:r>
    </w:p>
    <w:p>
      <w:r>
        <w:t xml:space="preserve">Answer: c</w:t>
      </w:r>
    </w:p>
    <w:p>
      <w:r>
        <w:t xml:space="preserve">Solution: Oral bisphosphonates (alendronate, risedronate) have very poor bioavailability (~1-5%) and must be taken on an empty stomach, 30-60 minutes before food, with adequate plain water to ensure proper dissolution and absorption in the GI tract. Lying down within 30 minutes must be avoided to prevent esophageal irritation. Calcium supplements should be taken with meals to enhance absorption. Vitamin D3 can be taken anytime. Calcitonin is administered as nasal spray.</w:t>
      </w:r>
    </w:p>
    <w:p>
      <w:r>
        <w:t xml:space="preserve">Positive Marks: 1</w:t>
      </w:r>
    </w:p>
    <w:p>
      <w:r>
        <w:t xml:space="preserve">Negative Marks: 0.33</w:t>
      </w:r>
    </w:p>
    <w:p/>
    <w:p>
      <w:r>
        <w:rPr>
          <w:b/>
        </w:rPr>
        <w:t xml:space="preserve">Question: A 70-year-old man with osteoporosis and chronic kidney disease (CKD stage 3b) presents for treatment. What is the MOST appropriate calcium/vitamin D regimen?</w:t>
      </w:r>
    </w:p>
    <w:p>
      <w:r>
        <w:t xml:space="preserve">(a) High-dose vitamin D2 with unrestricted calcium supplementation</w:t>
      </w:r>
    </w:p>
    <w:p>
      <w:r>
        <w:t xml:space="preserve">(b) Calcitriol (active vitamin D) with moderate calcium supplementation</w:t>
      </w:r>
    </w:p>
    <w:p>
      <w:r>
        <w:t xml:space="preserve">(c) Standard vitamin D3 with high-dose calcium carbonate</w:t>
      </w:r>
    </w:p>
    <w:p>
      <w:r>
        <w:t xml:space="preserve">(d) Avoid all supplements due to hyperphosphatemia risk</w:t>
      </w:r>
    </w:p>
    <w:p>
      <w:r>
        <w:t xml:space="preserve">Answer: b</w:t>
      </w:r>
    </w:p>
    <w:p>
      <w:r>
        <w:t xml:space="preserve">Solution: In CKD stage 3b, the kidneys lose ability to convert vitamin D25 to active D3 (calcitriol), necessitating calcitriol supplementation instead of inactive forms. Calcium supplementation should be moderate (1000-1200 mg/day) to avoid hypercalcemia and hyperphosphatemia. Vitamin D2 and D3 are inactive without renal 1-alpha hydroxylase. Completely avoiding supplements risks worsening hyperparathyroidism. MNEMONIC: 'Active D for CKD'.</w:t>
      </w:r>
    </w:p>
    <w:p>
      <w:r>
        <w:t xml:space="preserve">Positive Marks: 1</w:t>
      </w:r>
    </w:p>
    <w:p>
      <w:r>
        <w:t xml:space="preserve">Negative Marks: 0.33</w:t>
      </w:r>
    </w:p>
    <w:p/>
    <w:p>
      <w:r>
        <w:rPr>
          <w:b/>
        </w:rPr>
        <w:t xml:space="preserve">Question: Teriparatide (PTH1-34 analog) differs from bisphosphonates in osteoporosis treatment by which property?</w:t>
      </w:r>
    </w:p>
    <w:p>
      <w:r>
        <w:t xml:space="preserve">(a) It increases bone resorption to stimulate remodeling</w:t>
      </w:r>
    </w:p>
    <w:p>
      <w:r>
        <w:t xml:space="preserve">(b) It promotes new bone formation rather than inhibiting resorption</w:t>
      </w:r>
    </w:p>
    <w:p>
      <w:r>
        <w:t xml:space="preserve">(c) It reduces fracture risk only at the lumbar spine</w:t>
      </w:r>
    </w:p>
    <w:p>
      <w:r>
        <w:t xml:space="preserve">(d) It can be given orally once daily</w:t>
      </w:r>
    </w:p>
    <w:p>
      <w:r>
        <w:t xml:space="preserve">Answer: b</w:t>
      </w:r>
    </w:p>
    <w:p>
      <w:r>
        <w:t xml:space="preserve">Solution: Teriparatide is an anabolic agent that stimulates osteoblasts to BUILD new bone matrix, increasing bone formation markers and bone mineral density—the opposite of bisphosphonates which are anti-resorptive. It is given as daily subcutaneous injection (20 mcg), not orally. It reduces fracture risk at multiple skeletal sites including hip and spine. Intermittent PTH stimulates remodeling by paradoxically increasing bone turnover with net gain in formation.</w:t>
      </w:r>
    </w:p>
    <w:p>
      <w:r>
        <w:t xml:space="preserve">Positive Marks: 1</w:t>
      </w:r>
    </w:p>
    <w:p>
      <w:r>
        <w:t xml:space="preserve">Negative Marks: 0.33</w:t>
      </w:r>
    </w:p>
    <w:p/>
    <w:p>
      <w:r>
        <w:rPr>
          <w:b/>
        </w:rPr>
        <w:t xml:space="preserve">Question: Which of the following drug interactions MOST significantly reduces oral bisphosphonate bioavailability?</w:t>
      </w:r>
    </w:p>
    <w:p>
      <w:r>
        <w:t xml:space="preserve">(a) Concurrent use of bisphosphonates with calcium/iron/magnesium-containing compounds</w:t>
      </w:r>
    </w:p>
    <w:p>
      <w:r>
        <w:t xml:space="preserve">(b) Taking bisphosphonates 2 hours after calcium supplement</w:t>
      </w:r>
    </w:p>
    <w:p>
      <w:r>
        <w:t xml:space="preserve">(c) Using bisphosphonates after breakfast</w:t>
      </w:r>
    </w:p>
    <w:p>
      <w:r>
        <w:t xml:space="preserve">(d) Combining with proton pump inhibitors</w:t>
      </w:r>
    </w:p>
    <w:p>
      <w:r>
        <w:t xml:space="preserve">Answer: a</w:t>
      </w:r>
    </w:p>
    <w:p>
      <w:r>
        <w:t xml:space="preserve">Solution: Divalent cations (calcium, iron, magnesium, aluminum) form insoluble complexes with bisphosphonates, drastically reducing absorption if given simultaneously. They must be separated by at least 2 hours. Taking bisphosphonates WITH food (not 30 min before) or 2 hours after a meal reduces absorption. Taking after breakfast violates proper administration. PPIs may slightly reduce absorption but not as severely as chelation by cations. MNEMONIC: 'Separate bisphosphonates from divalent cations'.</w:t>
      </w:r>
    </w:p>
    <w:p>
      <w:r>
        <w:t xml:space="preserve">Positive Marks: 1</w:t>
      </w:r>
    </w:p>
    <w:p>
      <w:r>
        <w:t xml:space="preserve">Negative Marks: 0.33</w:t>
      </w:r>
    </w:p>
    <w:p/>
    <w:p>
      <w:r>
        <w:rPr>
          <w:b/>
        </w:rPr>
        <w:t xml:space="preserve">Question: A postmenopausal woman is prescribed raloxifene for osteoporosis. This drug is classified as a SERM. What does SERM stand for and what is its primary advantage over estrogen?</w:t>
      </w:r>
    </w:p>
    <w:p>
      <w:r>
        <w:t xml:space="preserve">(a) Selective Estrogen Receptor Modulator; reduces thrombotic and breast cancer risk</w:t>
      </w:r>
    </w:p>
    <w:p>
      <w:r>
        <w:t xml:space="preserve">(b) Selective Endocrine Receptor Medication; faster bone formation</w:t>
      </w:r>
    </w:p>
    <w:p>
      <w:r>
        <w:t xml:space="preserve">(c) Selective Estrogen Resorption Medication; prevents hot flashes</w:t>
      </w:r>
    </w:p>
    <w:p>
      <w:r>
        <w:t xml:space="preserve">(d) Systemic Estrogen Replacement Module; improves vasomotor symptoms</w:t>
      </w:r>
    </w:p>
    <w:p>
      <w:r>
        <w:t xml:space="preserve">Answer: a</w:t>
      </w:r>
    </w:p>
    <w:p>
      <w:r>
        <w:t xml:space="preserve">Solution: SERM = Selective Estrogen Receptor Modulator. Raloxifene acts as estrogen antagonist on breast and uterus (preventing cancer risk) while acting as agonist on bone and lipid metabolism (preventing fractures and improving lipid profile). This selectivity provides osteoporosis protection without increased thrombotic or breast cancer risk associated with full estrogen replacement. It does not relieve hot flashes. Bone formation is anti-resorptive, not anabolic.</w:t>
      </w:r>
    </w:p>
    <w:p>
      <w:r>
        <w:t xml:space="preserve">Positive Marks: 1</w:t>
      </w:r>
    </w:p>
    <w:p>
      <w:r>
        <w:t xml:space="preserve">Negative Marks: 0.33</w:t>
      </w:r>
    </w:p>
    <w:p/>
    <w:p>
      <w:r>
        <w:rPr>
          <w:b/>
        </w:rPr>
        <w:t xml:space="preserve">Question: Denosumab is a monoclonal antibody against RANKL. How does this mechanism differ from bisphosphonates?</w:t>
      </w:r>
    </w:p>
    <w:p>
      <w:r>
        <w:t xml:space="preserve">(a) It acts on osteoclast precursor cells to prevent their maturation, while bisphosphonates act on mature osteoclasts</w:t>
      </w:r>
    </w:p>
    <w:p>
      <w:r>
        <w:t xml:space="preserve">(b) It is completely inert and acts as a placebo</w:t>
      </w:r>
    </w:p>
    <w:p>
      <w:r>
        <w:t xml:space="preserve">(c) It increases bone turnover more than bisphosphonates</w:t>
      </w:r>
    </w:p>
    <w:p>
      <w:r>
        <w:t xml:space="preserve">(d) It can be given orally, whereas bisphosphonates are only parenteral</w:t>
      </w:r>
    </w:p>
    <w:p>
      <w:r>
        <w:t xml:space="preserve">Answer: a</w:t>
      </w:r>
    </w:p>
    <w:p>
      <w:r>
        <w:t xml:space="preserve">Solution: Denosumab blocks RANKL (Receptor Activator of Nuclear factor kappa-B Ligand), preventing osteoclast precursor recruitment and differentiation—a more upstream effect than bisphosphonates which primarily induce apoptosis in mature osteoclasts. Both reduce bone resorption but via different mechanisms. Denosumab is given as subcutaneous injection every 6 months. Denosumab reduces bone turnover markers more completely than bisphosphonates. This upstream blockade may provide theoretical advantage in certain scenarios.</w:t>
      </w:r>
    </w:p>
    <w:p>
      <w:r>
        <w:t xml:space="preserve">Positive Marks: 1</w:t>
      </w:r>
    </w:p>
    <w:p>
      <w:r>
        <w:t xml:space="preserve">Negative Marks: 0.33</w:t>
      </w:r>
    </w:p>
    <w:p/>
    <w:p>
      <w:r>
        <w:rPr>
          <w:b/>
        </w:rPr>
        <w:t xml:space="preserve">Question: Calcitonin, a hormone secreted by thyroid parafollicular cells, reduces serum calcium primarily by which mechanism?</w:t>
      </w:r>
    </w:p>
    <w:p>
      <w:r>
        <w:t xml:space="preserve">(a) Enhancing intestinal calcium absorption</w:t>
      </w:r>
    </w:p>
    <w:p>
      <w:r>
        <w:t xml:space="preserve">(b) Inhibiting renal tubular calcium reabsorption</w:t>
      </w:r>
    </w:p>
    <w:p>
      <w:r>
        <w:t xml:space="preserve">(c) Promoting osteoclast-mediated bone resorption</w:t>
      </w:r>
    </w:p>
    <w:p>
      <w:r>
        <w:t xml:space="preserve">(d) Increasing parathyroid hormone secretion</w:t>
      </w:r>
    </w:p>
    <w:p>
      <w:r>
        <w:t xml:space="preserve">Answer: b</w:t>
      </w:r>
    </w:p>
    <w:p>
      <w:r>
        <w:t xml:space="preserve">Solution: Calcitonin acutely reduces serum calcium by two main mechanisms: (1) direct inhibition of osteoclast activity reducing bone resorption, and (2) increased renal excretion via inhibition of renal tubular calcium reabsorption. It does not enhance intestinal absorption (opposite of PTH). It inhibits bone resorption (opposite of what option C states). It does not stimulate PTH; rather, high calcium levels stimulate calcitonin secretion and suppress PTH. Calcitonin therapy is less commonly used today but remains useful for acute hypercalcemia.</w:t>
      </w:r>
    </w:p>
    <w:p>
      <w:r>
        <w:t xml:space="preserve">Positive Marks: 1</w:t>
      </w:r>
    </w:p>
    <w:p>
      <w:r>
        <w:t xml:space="preserve">Negative Marks: 0.33</w:t>
      </w:r>
    </w:p>
    <w:p/>
    <w:p>
      <w:r>
        <w:rPr>
          <w:b/>
        </w:rPr>
        <w:t xml:space="preserve">Question: A patient on chronic bisphosphonate therapy (7 years) now presents with atypical subtrochanteric femur fracture. What is the proposed mechanism linking bisphosphonates to increased fracture risk despite higher BMD?</w:t>
      </w:r>
    </w:p>
    <w:p>
      <w:r>
        <w:t xml:space="preserve">(a) Excessive bone resorption causing porosity</w:t>
      </w:r>
    </w:p>
    <w:p>
      <w:r>
        <w:t xml:space="preserve">(b) Impaired bone quality due to suppressed remodeling and microdamage accumulation</w:t>
      </w:r>
    </w:p>
    <w:p>
      <w:r>
        <w:t xml:space="preserve">(c) Hypercalcemia inducing pathological fractures</w:t>
      </w:r>
    </w:p>
    <w:p>
      <w:r>
        <w:t xml:space="preserve">(d) Osteoclast hyperactivity paradoxically</w:t>
      </w:r>
    </w:p>
    <w:p>
      <w:r>
        <w:t xml:space="preserve">Answer: b</w:t>
      </w:r>
    </w:p>
    <w:p>
      <w:r>
        <w:t xml:space="preserve">Solution: Long-term bisphosphonate use may paradoxically increase certain atypical fracture risk through reduced bone remodeling, leading to accumulation of microdamage, impaired repair mechanisms, and altered bone quality despite increased BMD on DEXA. This represents a complex dissociation between quantity (density) and quality of bone. Excessive resorption is the opposite of what happens. Hypercalcemia doesn't occur with bisphosphonates. Osteoclast activity is suppressed, not increased. This 'frozen bone' phenomenon is a well-recognized but rare risk.</w:t>
      </w:r>
    </w:p>
    <w:p>
      <w:r>
        <w:t xml:space="preserve">Positive Marks: 1</w:t>
      </w:r>
    </w:p>
    <w:p>
      <w:r>
        <w:t xml:space="preserve">Negative Marks: 0.33</w:t>
      </w:r>
    </w:p>
    <w:p/>
    <w:p>
      <w:r>
        <w:rPr>
          <w:b/>
        </w:rPr>
        <w:t xml:space="preserve">Question: Which electrolyte deficiency is commonly associated with osteoporosis and is crucial for optimal bisphosphonate efficacy?</w:t>
      </w:r>
    </w:p>
    <w:p>
      <w:r>
        <w:t xml:space="preserve">(a) Hypomagnesemia</w:t>
      </w:r>
    </w:p>
    <w:p>
      <w:r>
        <w:t xml:space="preserve">(b) Hypokalemia</w:t>
      </w:r>
    </w:p>
    <w:p>
      <w:r>
        <w:t xml:space="preserve">(c) Hypophosphatemia</w:t>
      </w:r>
    </w:p>
    <w:p>
      <w:r>
        <w:t xml:space="preserve">(d) Hyponatremia</w:t>
      </w:r>
    </w:p>
    <w:p>
      <w:r>
        <w:t xml:space="preserve">Answer: a</w:t>
      </w:r>
    </w:p>
    <w:p>
      <w:r>
        <w:t xml:space="preserve">Solution: Magnesium is essential for normal bone mineralization, osteoblast function, and PTH action. Hypomagnesemia impairs PTH secretion and action, worsening bone metabolism and reducing treatment response to osteoporosis medications. It occurs in 30-60% of osteoporosis patients due to dietary insufficiency or medications (PPIs, diuretics). Magnesium deficiency should be corrected (target &gt;2.0 mg/dL) for optimal osteoporosis management. Hypokalemia, hypophosphatemia, and hyponatremia are less directly related to bone quality.</w:t>
      </w:r>
    </w:p>
    <w:p>
      <w:r>
        <w:t xml:space="preserve">Positive Marks: 1</w:t>
      </w:r>
    </w:p>
    <w:p>
      <w:r>
        <w:t xml:space="preserve">Negative Marks: 0.33</w:t>
      </w:r>
    </w:p>
    <w:p/>
    <w:p>
      <w:r>
        <w:rPr>
          <w:b/>
        </w:rPr>
        <w:t xml:space="preserve">Question: A 68-year-old woman on alendronate develops severe esophageal ulceration. Which nursing intervention would have prevented this adverse effect?</w:t>
      </w:r>
    </w:p>
    <w:p>
      <w:r>
        <w:t xml:space="preserve">(a) Administering with orange juice to enhance absorption</w:t>
      </w:r>
    </w:p>
    <w:p>
      <w:r>
        <w:t xml:space="preserve">(b) Ensuring patient remains upright for 30 minutes post-dose and takes with adequate water</w:t>
      </w:r>
    </w:p>
    <w:p>
      <w:r>
        <w:t xml:space="preserve">(c) Giving the drug immediately after meals</w:t>
      </w:r>
    </w:p>
    <w:p>
      <w:r>
        <w:t xml:space="preserve">(d) Combining with ranitidine to reduce gastric acidity</w:t>
      </w:r>
    </w:p>
    <w:p>
      <w:r>
        <w:t xml:space="preserve">Answer: b</w:t>
      </w:r>
    </w:p>
    <w:p>
      <w:r>
        <w:t xml:space="preserve">Solution: Bisphosphonate-induced esophageal injury results from direct contact with esophageal mucosa. Prevention requires: (1) taking on empty stomach with full glass of plain water, (2) remaining upright/sitting for at least 30 minutes to allow esophageal transit, and (3) avoiding lying down post-dose. Orange juice reduces absorption and affects efficacy. Taking after meals increases GI upset. Ranitidine/acid reduction doesn't prevent direct irritation. Strict adherence to these instructions is essential.</w:t>
      </w:r>
    </w:p>
    <w:p>
      <w:r>
        <w:t xml:space="preserve">Positive Marks: 1</w:t>
      </w:r>
    </w:p>
    <w:p>
      <w:r>
        <w:t xml:space="preserve">Negative Marks: 0.33</w:t>
      </w:r>
    </w:p>
    <w:p/>
    <w:p>
      <w:r>
        <w:rPr>
          <w:b/>
        </w:rPr>
        <w:t xml:space="preserve">Question: Hypophosphatemia can worsen bone mineralization despite adequate calcium and vitamin D. Which drug is MOST likely to cause phosphate depletion leading to osteomalacia-like bone disease?</w:t>
      </w:r>
    </w:p>
    <w:p>
      <w:r>
        <w:t xml:space="preserve">(a) Long-term bisphosphonate therapy alone</w:t>
      </w:r>
    </w:p>
    <w:p>
      <w:r>
        <w:t xml:space="preserve">(b) Thiazide diuretics</w:t>
      </w:r>
    </w:p>
    <w:p>
      <w:r>
        <w:t xml:space="preserve">(c) Phosphate-binding antacids with chronic use</w:t>
      </w:r>
    </w:p>
    <w:p>
      <w:r>
        <w:t xml:space="preserve">(d) Vitamin D toxicity</w:t>
      </w:r>
    </w:p>
    <w:p>
      <w:r>
        <w:t xml:space="preserve">Answer: c</w:t>
      </w:r>
    </w:p>
    <w:p>
      <w:r>
        <w:t xml:space="preserve">Solution: Chronic use of phosphate-binding antacids (aluminum/magnesium hydroxide) can cause significant hypophosphatemia by binding dietary phosphate in the GI lumen, leading to impaired bone mineralization and osteomalacia despite normal calcium/vitamin D. Bisphosphonates primarily affect remodeling, not phosphate. Thiazides increase renal phosphate reabsorption (not depletion). Vitamin D toxicity causes hypercalcemia/hyperphosphatemia, not hypophosphatemia. Patients on antacids need monitoring of phosphate levels.</w:t>
      </w:r>
    </w:p>
    <w:p>
      <w:r>
        <w:t xml:space="preserve">Positive Marks: 1</w:t>
      </w:r>
    </w:p>
    <w:p>
      <w:r>
        <w:t xml:space="preserve">Negative Marks: 0.33</w:t>
      </w:r>
    </w:p>
    <w:p/>
    <w:p>
      <w:r>
        <w:rPr>
          <w:b/>
        </w:rPr>
        <w:t xml:space="preserve">Question: A 72-year-old man with osteoporosis and glaucoma currently takes timolol eye drops and pilocarpine. He is now started on calcium supplementation. Which potential complication should the nurse counsel him about?</w:t>
      </w:r>
    </w:p>
    <w:p>
      <w:r>
        <w:t xml:space="preserve">(a) Calcium reduces pilocarpine efficacy by increasing pupillary dilation</w:t>
      </w:r>
    </w:p>
    <w:p>
      <w:r>
        <w:t xml:space="preserve">(b) High serum calcium counteracts pilocarpine's miotic effect, causing angle-closure glaucoma</w:t>
      </w:r>
    </w:p>
    <w:p>
      <w:r>
        <w:t xml:space="preserve">(c) Calcium enhances timolol absorption, risking systemic hypotension</w:t>
      </w:r>
    </w:p>
    <w:p>
      <w:r>
        <w:t xml:space="preserve">(d) Calcium directly precipitates in the cornea causing opacity</w:t>
      </w:r>
    </w:p>
    <w:p>
      <w:r>
        <w:t xml:space="preserve">Answer: b</w:t>
      </w:r>
    </w:p>
    <w:p>
      <w:r>
        <w:t xml:space="preserve">Solution: Hypercalcemia (from excessive supplementation) can counteract pilocarpine's parasympathomimetic miotic (pupil-constricting) effect by interfering with neuromuscular transmission, leading to mydriasis and acute angle-closure glaucoma risk in susceptible patients. Calcium supplementation must be monitored in glaucoma patients. Timolol interactions are not direct. Corneal precipitation is not a clinical concern. This represents important polypharmacy consideration requiring dose adjustment or close monitoring of serum calcium and intraocular pressure.</w:t>
      </w:r>
    </w:p>
    <w:p>
      <w:r>
        <w:t xml:space="preserve">Positive Marks: 1</w:t>
      </w:r>
    </w:p>
    <w:p>
      <w:r>
        <w:t xml:space="preserve">Negative Marks: 0.33</w:t>
      </w:r>
    </w:p>
    <w:p/>
    <w:p>
      <w:r>
        <w:rPr>
          <w:b/>
        </w:rPr>
        <w:t xml:space="preserve">Question: In the management of osteoporosis, which statement BEST explains why vitamin K status is clinically relevant alongside calcium and vitamin D supplementation?</w:t>
      </w:r>
    </w:p>
    <w:p>
      <w:r>
        <w:t xml:space="preserve">(a) Vitamin K enhances intestinal calcium absorption like vitamin D</w:t>
      </w:r>
    </w:p>
    <w:p>
      <w:r>
        <w:t xml:space="preserve">(b) Vitamin K is required for gamma-carboxylation of osteocalcin, a non-collagenous bone matrix protein essential for mineralization</w:t>
      </w:r>
    </w:p>
    <w:p>
      <w:r>
        <w:t xml:space="preserve">(c) Vitamin K reduces PTH secretion, similar to calcitonin</w:t>
      </w:r>
    </w:p>
    <w:p>
      <w:r>
        <w:t xml:space="preserve">(d) Vitamin K acts as a bisphosphonate substitute, inhibiting osteoclasts</w:t>
      </w:r>
    </w:p>
    <w:p>
      <w:r>
        <w:t xml:space="preserve">Answer: b</w:t>
      </w:r>
    </w:p>
    <w:p>
      <w:r>
        <w:t xml:space="preserve">Solution: Vitamin K1 (phylloquinone) and K2 are essential cofactors for gamma-glutamyl carboxylase, which carboxylates osteocalcin—a critical non-collagenous bone matrix protein involved in bone mineralization and binding of calcium ions to the matrix. Low vitamin K status is associated with lower bone density and increased fracture risk. Vitamin K does not enhance calcium absorption (vitamin D's role). It does not suppress PTH. It is not an osteoclast inhibitor. Recent evidence supports vitamin K supplementation as part of comprehensive osteoporosis prevention in at-risk populations. MNEMONIC: 'K for osteocalcin carboxylation'.</w:t>
      </w:r>
    </w:p>
    <w:p>
      <w:r>
        <w:t xml:space="preserve">Positive Marks: 1</w:t>
      </w:r>
    </w:p>
    <w:p>
      <w:r>
        <w:t xml:space="preserve">Negative Marks: 0.33</w:t>
      </w:r>
    </w:p>
    <w:p/>
    <w:p>
      <w:r>
        <w:rPr>
          <w:b/>
        </w:rPr>
        <w:t xml:space="preserve">Question: A 65-year-old woman requires osteoporosis treatment but has severe renal impairment (GFR 15 mL/min/1.73m²). Which antiresorptive agent is CONTRAINDICATED and requires dose adjustment?</w:t>
      </w:r>
    </w:p>
    <w:p>
      <w:r>
        <w:t xml:space="preserve">(a) Calcitonin</w:t>
      </w:r>
    </w:p>
    <w:p>
      <w:r>
        <w:t xml:space="preserve">(b) Calcium citrate in moderate amounts</w:t>
      </w:r>
    </w:p>
    <w:p>
      <w:r>
        <w:t xml:space="preserve">(c) Raloxifene</w:t>
      </w:r>
    </w:p>
    <w:p>
      <w:r>
        <w:t xml:space="preserve">(d) Bisphosphonates (alendronate/risedronate)</w:t>
      </w:r>
    </w:p>
    <w:p>
      <w:r>
        <w:t xml:space="preserve">Answer: d</w:t>
      </w:r>
    </w:p>
    <w:p>
      <w:r>
        <w:t xml:space="preserve">Solution: Bisphosphonates (especially alendronate) are relatively contraindicated in severe renal impairment (GFR &lt;30) due to risk of accumulation and osteonecrosis of the jaw, plus concern for adynamic bone disease in CKD. Zoledronic acid has better renal clearance but still requires dose adjustment. Calcitonin is metabolized by kidneys but safe with monitoring. Calcium citrate is preferred over carbonate in renal failure to avoid hyperphosphatemia. Raloxifene absorption is not significantly affected by renal function. Denosumab can be used with careful monitoring. In severe CKD, consultation with nephrologist is essential before antiresorptive choice.</w:t>
      </w:r>
    </w:p>
    <w:p>
      <w:r>
        <w:t xml:space="preserve">Positive Marks: 1</w:t>
      </w:r>
    </w:p>
    <w:p>
      <w:r>
        <w:t xml:space="preserve">Negative Marks: 0.33</w:t>
      </w:r>
    </w:p>
    <w:sectPr>
      <w:pgSz w:w="11906" w:h="16838"/>
      <w:pgMar w:top="1134" w:right="1134" w:bottom="1134" w:left="1134"/>
    </w:sectPr>
  </w:body>
</w:document>
</file>