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most commonly used azole antifungal for systemic infections in nursing practice?</w:t>
      </w:r>
    </w:p>
    <w:p>
      <w:r>
        <w:t xml:space="preserve">(a) Griseofulvin</w:t>
      </w:r>
    </w:p>
    <w:p>
      <w:r>
        <w:t xml:space="preserve">(b) Fluconazole</w:t>
      </w:r>
    </w:p>
    <w:p>
      <w:r>
        <w:t xml:space="preserve">(c) Terbinafine</w:t>
      </w:r>
    </w:p>
    <w:p>
      <w:r>
        <w:t xml:space="preserve">(d) Nystatin</w:t>
      </w:r>
    </w:p>
    <w:p>
      <w:r>
        <w:t xml:space="preserve">Answer: b</w:t>
      </w:r>
    </w:p>
    <w:p>
      <w:r>
        <w:t xml:space="preserve">Solution: Fluconazole is the preferred azole for systemic candida and cryptococcal infections due to excellent oral bioavailability and CSF penetration. Griseofulvin is limited to dermatophyte infections, terbinafine to dermatophytes/onychomycosis, and nystatin is topical/oral non-absorbable only. Fluconazole's favorable PK profile and broad clinical applicability make it most commonly used in AIIMS practice settings.</w:t>
      </w:r>
    </w:p>
    <w:p>
      <w:r>
        <w:t xml:space="preserve">Positive Marks: 1</w:t>
      </w:r>
    </w:p>
    <w:p>
      <w:r>
        <w:t xml:space="preserve">Negative Marks: 0.33</w:t>
      </w:r>
    </w:p>
    <w:p/>
    <w:p>
      <w:r>
        <w:rPr>
          <w:b/>
        </w:rPr>
        <w:t xml:space="preserve">Question: Antifungal azoles primarily act by interfering with the synthesis of which critical fungal cell component?</w:t>
      </w:r>
    </w:p>
    <w:p>
      <w:r>
        <w:t xml:space="preserve">(a) Fungal cell wall peptidoglycan</w:t>
      </w:r>
    </w:p>
    <w:p>
      <w:r>
        <w:t xml:space="preserve">(b) Ergosterol in cell membrane</w:t>
      </w:r>
    </w:p>
    <w:p>
      <w:r>
        <w:t xml:space="preserve">(c) Fungal DNA replication</w:t>
      </w:r>
    </w:p>
    <w:p>
      <w:r>
        <w:t xml:space="preserve">(d) Mitochondrial proteins</w:t>
      </w:r>
    </w:p>
    <w:p>
      <w:r>
        <w:t xml:space="preserve">Answer: b</w:t>
      </w:r>
    </w:p>
    <w:p>
      <w:r>
        <w:t xml:space="preserve">Solution: Azoles inhibit lanosterol 14α-demethylase (CYP51), an enzyme crucial for ergosterol synthesis. Ergosterol is the fungal equivalent of cholesterol in the cell membrane; its depletion causes membrane instability and fungal cell death. Fungal cell walls contain chitin (not peptidoglycan, which is bacterial). This mechanism distinguishes antifungals from antibiotics and explains selective toxicity.</w:t>
      </w:r>
    </w:p>
    <w:p>
      <w:r>
        <w:t xml:space="preserve">Positive Marks: 1</w:t>
      </w:r>
    </w:p>
    <w:p>
      <w:r>
        <w:t xml:space="preserve">Negative Marks: 0.33</w:t>
      </w:r>
    </w:p>
    <w:p/>
    <w:p>
      <w:r>
        <w:rPr>
          <w:b/>
        </w:rPr>
        <w:t xml:space="preserve">Question: A patient with oral candidiasis requires topical antifungal therapy. Which drug is considered the gold standard for oral Candida treatment?</w:t>
      </w:r>
    </w:p>
    <w:p>
      <w:r>
        <w:t xml:space="preserve">(a) Miconazole cream</w:t>
      </w:r>
    </w:p>
    <w:p>
      <w:r>
        <w:t xml:space="preserve">(b) Nystatin suspension</w:t>
      </w:r>
    </w:p>
    <w:p>
      <w:r>
        <w:t xml:space="preserve">(c) Fluconazole tablet</w:t>
      </w:r>
    </w:p>
    <w:p>
      <w:r>
        <w:t xml:space="preserve">(d) Clotrimazole tablet</w:t>
      </w:r>
    </w:p>
    <w:p>
      <w:r>
        <w:t xml:space="preserve">Answer: b</w:t>
      </w:r>
    </w:p>
    <w:p>
      <w:r>
        <w:t xml:space="preserve">Solution: Nystatin is a polyene antibiotic that remains the first-line topical antifungal for oral candidiasis because it is non-absorbable, acts locally, and has excellent efficacy against Candida with minimal systemic side effects. Miconazole has some systemic absorption; fluconazole is reserved for systemic infections; clotrimazole is less preferred for oral use. Nystatin's mnemonic: 'Nystatin for the Nouth (Mouth).'</w:t>
      </w:r>
    </w:p>
    <w:p>
      <w:r>
        <w:t xml:space="preserve">Positive Marks: 1</w:t>
      </w:r>
    </w:p>
    <w:p>
      <w:r>
        <w:t xml:space="preserve">Negative Marks: 0.33</w:t>
      </w:r>
    </w:p>
    <w:p/>
    <w:p>
      <w:r>
        <w:rPr>
          <w:b/>
        </w:rPr>
        <w:t xml:space="preserve">Question: Amphotericin B is notorious for nephrotoxicity. Which formulation reduces renal toxicity by 50-80% compared to conventional form?</w:t>
      </w:r>
    </w:p>
    <w:p>
      <w:r>
        <w:t xml:space="preserve">(a) Amphotericin B oral suspension</w:t>
      </w:r>
    </w:p>
    <w:p>
      <w:r>
        <w:t xml:space="preserve">(b) Amphotericin B lipid complex</w:t>
      </w:r>
    </w:p>
    <w:p>
      <w:r>
        <w:t xml:space="preserve">(c) Amphotericin B intravenous powder</w:t>
      </w:r>
    </w:p>
    <w:p>
      <w:r>
        <w:t xml:space="preserve">(d) Amphotericin B in 5% dextrose</w:t>
      </w:r>
    </w:p>
    <w:p>
      <w:r>
        <w:t xml:space="preserve">Answer: b</w:t>
      </w:r>
    </w:p>
    <w:p>
      <w:r>
        <w:t xml:space="preserve">Solution: Amphotericin B lipid complex (ABLC) formulation encapsulates amphotericin B in lipid vesicles, reducing binding to human cell membranes and thus reducing nephrotoxicity by 50-80% while maintaining efficacy. Conventional amphotericin B binds non-specifically to human renal tubular cells causing acute tubular necrosis. Oral suspension provides only local effect. ABLC is preferred in renal-impaired patients but is more expensive.</w:t>
      </w:r>
    </w:p>
    <w:p>
      <w:r>
        <w:t xml:space="preserve">Positive Marks: 1</w:t>
      </w:r>
    </w:p>
    <w:p>
      <w:r>
        <w:t xml:space="preserve">Negative Marks: 0.33</w:t>
      </w:r>
    </w:p>
    <w:p/>
    <w:p>
      <w:r>
        <w:rPr>
          <w:b/>
        </w:rPr>
        <w:t xml:space="preserve">Question: Which antifungal agent is considered the broad-spectrum azole of choice for invasive aspergillosis and resistant Candida?</w:t>
      </w:r>
    </w:p>
    <w:p>
      <w:r>
        <w:t xml:space="preserve">(a) Itraconazole</w:t>
      </w:r>
    </w:p>
    <w:p>
      <w:r>
        <w:t xml:space="preserve">(b) Voriconazole</w:t>
      </w:r>
    </w:p>
    <w:p>
      <w:r>
        <w:t xml:space="preserve">(c) Posaconazole</w:t>
      </w:r>
    </w:p>
    <w:p>
      <w:r>
        <w:t xml:space="preserve">(d) Ketoconazole</w:t>
      </w:r>
    </w:p>
    <w:p>
      <w:r>
        <w:t xml:space="preserve">Answer: b</w:t>
      </w:r>
    </w:p>
    <w:p>
      <w:r>
        <w:t xml:space="preserve">Solution: Voriconazole is a second-generation azole with enhanced spectrum covering Aspergillus, Candida (including fluconazole-resistant strains), and Cryptococcus. It has better CNS penetration than itraconazole and causes less hepatotoxicity than ketoconazole. Posaconazole is reserved for resistant species. Voriconazole is the standard therapy for invasive aspergillosis per AIIMS treatment guidelines.</w:t>
      </w:r>
    </w:p>
    <w:p>
      <w:r>
        <w:t xml:space="preserve">Positive Marks: 1</w:t>
      </w:r>
    </w:p>
    <w:p>
      <w:r>
        <w:t xml:space="preserve">Negative Marks: 0.33</w:t>
      </w:r>
    </w:p>
    <w:p/>
    <w:p>
      <w:r>
        <w:rPr>
          <w:b/>
        </w:rPr>
        <w:t xml:space="preserve">Question: A patient on warfarin develops an INR of 9 after starting fluconazole. This interaction occurs because fluconazole is a:</w:t>
      </w:r>
    </w:p>
    <w:p>
      <w:r>
        <w:t xml:space="preserve">(a) CYP3A4 inducer, increasing warfarin metabolism</w:t>
      </w:r>
    </w:p>
    <w:p>
      <w:r>
        <w:t xml:space="preserve">(b) CYP3A4 inhibitor, decreasing warfarin metabolism</w:t>
      </w:r>
    </w:p>
    <w:p>
      <w:r>
        <w:t xml:space="preserve">(c) Albumin binder, displacing warfarin</w:t>
      </w:r>
    </w:p>
    <w:p>
      <w:r>
        <w:t xml:space="preserve">(d) Renal clearance enhancer of warfarin</w:t>
      </w:r>
    </w:p>
    <w:p>
      <w:r>
        <w:t xml:space="preserve">Answer: b</w:t>
      </w:r>
    </w:p>
    <w:p>
      <w:r>
        <w:t xml:space="preserve">Solution: Fluconazole inhibits CYP3A4 and CYP2C9, the enzymes responsible for warfarin metabolism. This inhibition decreases warfarin clearance, leading to elevated INR and bleeding risk. The interaction is predictable and significant—nursing management includes INR monitoring and potential warfarin dose reduction by 25-50%. This is a classic NORCET scenario testing drug interaction knowledge.</w:t>
      </w:r>
    </w:p>
    <w:p>
      <w:r>
        <w:t xml:space="preserve">Positive Marks: 1</w:t>
      </w:r>
    </w:p>
    <w:p>
      <w:r>
        <w:t xml:space="preserve">Negative Marks: 0.33</w:t>
      </w:r>
    </w:p>
    <w:p/>
    <w:p>
      <w:r>
        <w:rPr>
          <w:b/>
        </w:rPr>
        <w:t xml:space="preserve">Question: A patient with onychomycosis (fungal nail infection) requires prolonged therapy. Which drug is preferred due to its excellent penetration and concentration in nails?</w:t>
      </w:r>
    </w:p>
    <w:p>
      <w:r>
        <w:t xml:space="preserve">(a) Griseofulvin</w:t>
      </w:r>
    </w:p>
    <w:p>
      <w:r>
        <w:t xml:space="preserve">(b) Fluconazole</w:t>
      </w:r>
    </w:p>
    <w:p>
      <w:r>
        <w:t xml:space="preserve">(c) Terbinafine</w:t>
      </w:r>
    </w:p>
    <w:p>
      <w:r>
        <w:t xml:space="preserve">(d) Miconazole</w:t>
      </w:r>
    </w:p>
    <w:p>
      <w:r>
        <w:t xml:space="preserve">Answer: c</w:t>
      </w:r>
    </w:p>
    <w:p>
      <w:r>
        <w:t xml:space="preserve">Solution: Terbinafine is a lipophilic allylamine that concentrates in sebaceous glands, skin, and nails at high levels. It achieves 80-90% cure rates for onychomycosis in 12 weeks compared to 6+ months for griseofulvin. Griseofulvin acts by interfering with mitosis but penetrates nails poorly. Fluconazole and miconazole are not ideal for nail infections. Terbinafine's nail penetration is its unique advantage.</w:t>
      </w:r>
    </w:p>
    <w:p>
      <w:r>
        <w:t xml:space="preserve">Positive Marks: 1</w:t>
      </w:r>
    </w:p>
    <w:p>
      <w:r>
        <w:t xml:space="preserve">Negative Marks: 0.33</w:t>
      </w:r>
    </w:p>
    <w:p/>
    <w:p>
      <w:r>
        <w:rPr>
          <w:b/>
        </w:rPr>
        <w:t xml:space="preserve">Question: Griseofulvin's antifungal mechanism differs from azoles. It primarily works by:</w:t>
      </w:r>
    </w:p>
    <w:p>
      <w:r>
        <w:t xml:space="preserve">(a) Disrupting ergosterol synthesis</w:t>
      </w:r>
    </w:p>
    <w:p>
      <w:r>
        <w:t xml:space="preserve">(b) Inhibiting fungal chitin synthesis</w:t>
      </w:r>
    </w:p>
    <w:p>
      <w:r>
        <w:t xml:space="preserve">(c) Interfering with fungal mitosis and metaphase spindle formation</w:t>
      </w:r>
    </w:p>
    <w:p>
      <w:r>
        <w:t xml:space="preserve">(d) Increasing fungal cell membrane permeability</w:t>
      </w:r>
    </w:p>
    <w:p>
      <w:r>
        <w:t xml:space="preserve">Answer: c</w:t>
      </w:r>
    </w:p>
    <w:p>
      <w:r>
        <w:t xml:space="preserve">Solution: Griseofulvin is a fungistatic agent that binds to fungal tubulin and microtubules, disrupting metaphase spindle formation and inhibiting mitosis. This unique mechanism makes it effective for dermatophyte infections where fungal cells are actively dividing. It does NOT target ergosterol (like azoles) or cell wall components. Griseofulvin's mnemonic: 'Griseofulvin = Growth inhibition (mitosis).'</w:t>
      </w:r>
    </w:p>
    <w:p>
      <w:r>
        <w:t xml:space="preserve">Positive Marks: 1</w:t>
      </w:r>
    </w:p>
    <w:p>
      <w:r>
        <w:t xml:space="preserve">Negative Marks: 0.33</w:t>
      </w:r>
    </w:p>
    <w:p/>
    <w:p>
      <w:r>
        <w:rPr>
          <w:b/>
        </w:rPr>
        <w:t xml:space="preserve">Question: Which of the following clinical situations represents a relative contraindication to azole antifungal therapy?</w:t>
      </w:r>
    </w:p>
    <w:p>
      <w:r>
        <w:t xml:space="preserve">(a) Renal impairment with creatinine clearance &lt;30 mL/min</w:t>
      </w:r>
    </w:p>
    <w:p>
      <w:r>
        <w:t xml:space="preserve">(b) Pre-existing hepatic dysfunction or elevated transaminases</w:t>
      </w:r>
    </w:p>
    <w:p>
      <w:r>
        <w:t xml:space="preserve">(c) Cardiac arrhythmias treated with beta-blockers</w:t>
      </w:r>
    </w:p>
    <w:p>
      <w:r>
        <w:t xml:space="preserve">(d) Concurrent NSAIDs use</w:t>
      </w:r>
    </w:p>
    <w:p>
      <w:r>
        <w:t xml:space="preserve">Answer: b</w:t>
      </w:r>
    </w:p>
    <w:p>
      <w:r>
        <w:t xml:space="preserve">Solution: Azoles undergo hepatic metabolism and can cause hepatotoxicity, especially with pre-existing liver disease or elevated baseline transaminases. Ketoconazole and itraconazole are most hepatotoxic; fluconazole is relatively safer. Renal impairment is less concerning as most azoles undergo hepatic metabolism. Monitoring LFTs is essential before and during azole therapy, particularly for high-risk patients.</w:t>
      </w:r>
    </w:p>
    <w:p>
      <w:r>
        <w:t xml:space="preserve">Positive Marks: 1</w:t>
      </w:r>
    </w:p>
    <w:p>
      <w:r>
        <w:t xml:space="preserve">Negative Marks: 0.33</w:t>
      </w:r>
    </w:p>
    <w:p/>
    <w:p>
      <w:r>
        <w:rPr>
          <w:b/>
        </w:rPr>
        <w:t xml:space="preserve">Question: A patient receiving caspofungin (echinocandin) develops rigors, fever, and flushing 1-2 hours after infusion initiation. What is the most appropriate nursing action?</w:t>
      </w:r>
    </w:p>
    <w:p>
      <w:r>
        <w:t xml:space="preserve">(a) Discontinue infusion immediately and notify physician</w:t>
      </w:r>
    </w:p>
    <w:p>
      <w:r>
        <w:t xml:space="preserve">(b) Premedicate with acetaminophen and antihistamines for next dose</w:t>
      </w:r>
    </w:p>
    <w:p>
      <w:r>
        <w:t xml:space="preserve">(c) Increase infusion rate to complete administration faster</w:t>
      </w:r>
    </w:p>
    <w:p>
      <w:r>
        <w:t xml:space="preserve">(d) Switch to a different antifungal class</w:t>
      </w:r>
    </w:p>
    <w:p>
      <w:r>
        <w:t xml:space="preserve">Answer: b</w:t>
      </w:r>
    </w:p>
    <w:p>
      <w:r>
        <w:t xml:space="preserve">Solution: Infusion-related reactions (rigors, fever, tachycardia, hypotension) occur in 20-30% of caspofungin recipients during the first infusion. These reactions are generally manageable with premedication (acetaminophen 650-1000 mg, diphenhydramine 25-50 mg) before subsequent infusions. The reactions typically diminish with continued therapy and do not necessitate discontinuation. Slowing infusion rate also helps. Recognizing this as a predictable, manageable reaction is key.</w:t>
      </w:r>
    </w:p>
    <w:p>
      <w:r>
        <w:t xml:space="preserve">Positive Marks: 1</w:t>
      </w:r>
    </w:p>
    <w:p>
      <w:r>
        <w:t xml:space="preserve">Negative Marks: 0.33</w:t>
      </w:r>
    </w:p>
    <w:p/>
    <w:p>
      <w:r>
        <w:rPr>
          <w:b/>
        </w:rPr>
        <w:t xml:space="preserve">Question: In a patient with azole-resistant Candida species, which antifungal class would be most appropriate as second-line therapy?</w:t>
      </w:r>
    </w:p>
    <w:p>
      <w:r>
        <w:t xml:space="preserve">(a) Polyenes (nystatin)</w:t>
      </w:r>
    </w:p>
    <w:p>
      <w:r>
        <w:t xml:space="preserve">(b) Fluoropyrimidines (flucytosine)</w:t>
      </w:r>
    </w:p>
    <w:p>
      <w:r>
        <w:t xml:space="preserve">(c) Echinocandins (caspofungin)</w:t>
      </w:r>
    </w:p>
    <w:p>
      <w:r>
        <w:t xml:space="preserve">(d) Allylamines (terbinafine)</w:t>
      </w:r>
    </w:p>
    <w:p>
      <w:r>
        <w:t xml:space="preserve">Answer: c</w:t>
      </w:r>
    </w:p>
    <w:p>
      <w:r>
        <w:t xml:space="preserve">Solution: Echinocandins (caspofungin, micafungin, anidulafungin) have a different mechanism than azoles—they inhibit 1,3-β-D-glucan synthesis in the fungal cell wall. This non-cross-resistant mechanism makes them ideal for azole-resistant Candida species. Polyenes and fluoropyrimidines are less reliable for resistance. Echinocandins are considered standard therapy for resistant candidiasis in AIIMS practice.</w:t>
      </w:r>
    </w:p>
    <w:p>
      <w:r>
        <w:t xml:space="preserve">Positive Marks: 1</w:t>
      </w:r>
    </w:p>
    <w:p>
      <w:r>
        <w:t xml:space="preserve">Negative Marks: 0.33</w:t>
      </w:r>
    </w:p>
    <w:p/>
    <w:p>
      <w:r>
        <w:rPr>
          <w:b/>
        </w:rPr>
        <w:t xml:space="preserve">Question: Which tissue does terbinafine preferentially accumulate in, making it highly effective for skin and nail infections?</w:t>
      </w:r>
    </w:p>
    <w:p>
      <w:r>
        <w:t xml:space="preserve">(a) Serum proteins</w:t>
      </w:r>
    </w:p>
    <w:p>
      <w:r>
        <w:t xml:space="preserve">(b) Nails, skin, and adipose tissue</w:t>
      </w:r>
    </w:p>
    <w:p>
      <w:r>
        <w:t xml:space="preserve">(c) Lungs and respiratory secretions</w:t>
      </w:r>
    </w:p>
    <w:p>
      <w:r>
        <w:t xml:space="preserve">(d) CSF and brain tissue</w:t>
      </w:r>
    </w:p>
    <w:p>
      <w:r>
        <w:t xml:space="preserve">Answer: b</w:t>
      </w:r>
    </w:p>
    <w:p>
      <w:r>
        <w:t xml:space="preserve">Solution: Terbinafine is highly lipophilic and concentrates in sebaceous glands, dermis, epidermis, and nails at levels 10-100 times higher than serum levels. This preferential tissue accumulation explains its excellent efficacy for dermatophyte and onychomycosis treatment. Poor CNS penetration limits its use in fungal meningitis. This characteristic distribution is essential for understanding terbinafine's clinical applications.</w:t>
      </w:r>
    </w:p>
    <w:p>
      <w:r>
        <w:t xml:space="preserve">Positive Marks: 1</w:t>
      </w:r>
    </w:p>
    <w:p>
      <w:r>
        <w:t xml:space="preserve">Negative Marks: 0.33</w:t>
      </w:r>
    </w:p>
    <w:p/>
    <w:p>
      <w:r>
        <w:rPr>
          <w:b/>
        </w:rPr>
        <w:t xml:space="preserve">Question: A patient on amphotericin B therapy develops severe hypokalemia (K+ = 2.8 mEq/L) and muscle weakness. What is the priority nursing intervention?</w:t>
      </w:r>
    </w:p>
    <w:p>
      <w:r>
        <w:t xml:space="preserve">(a) Discontinue amphotericin B permanently</w:t>
      </w:r>
    </w:p>
    <w:p>
      <w:r>
        <w:t xml:space="preserve">(b) Monitor for severe arrhythmias and administer IV potassium supplementation</w:t>
      </w:r>
    </w:p>
    <w:p>
      <w:r>
        <w:t xml:space="preserve">(c) Switch to fluconazole immediately</w:t>
      </w:r>
    </w:p>
    <w:p>
      <w:r>
        <w:t xml:space="preserve">(d) Increase sodium intake to compensate</w:t>
      </w:r>
    </w:p>
    <w:p>
      <w:r>
        <w:t xml:space="preserve">Answer: b</w:t>
      </w:r>
    </w:p>
    <w:p>
      <w:r>
        <w:t xml:space="preserve">Solution: Hypokalemia is a chronic, dose-dependent effect of amphotericin B due to renal tubular dysfunction. K+ levels may drop to 2.0-2.5 mEq/L requiring aggressive IV potassium replacement. The patient is at risk for cardiac arrhythmias, necessitating ECG monitoring and cautious repletion. Amphotericin B continuation with electrolyte management is standard practice. Daily K+ monitoring and supplementation (20-40 mEq) are essential nursing responsibilities.</w:t>
      </w:r>
    </w:p>
    <w:p>
      <w:r>
        <w:t xml:space="preserve">Positive Marks: 1</w:t>
      </w:r>
    </w:p>
    <w:p>
      <w:r>
        <w:t xml:space="preserve">Negative Marks: 0.33</w:t>
      </w:r>
    </w:p>
    <w:p/>
    <w:p>
      <w:r>
        <w:rPr>
          <w:b/>
        </w:rPr>
        <w:t xml:space="preserve">Question: Ketoconazole absorption is significantly impaired when administered with antacids or H2-receptor antagonists. This occurs because ketoconazole requires:</w:t>
      </w:r>
    </w:p>
    <w:p>
      <w:r>
        <w:t xml:space="preserve">(a) Alkaline pH for ionization and absorption</w:t>
      </w:r>
    </w:p>
    <w:p>
      <w:r>
        <w:t xml:space="preserve">(b) Acidic pH for proper ionization and absorption</w:t>
      </w:r>
    </w:p>
    <w:p>
      <w:r>
        <w:t xml:space="preserve">(c) Hepatic first-pass metabolism</w:t>
      </w:r>
    </w:p>
    <w:p>
      <w:r>
        <w:t xml:space="preserve">(d) Specific transporter proteins in the duodenum</w:t>
      </w:r>
    </w:p>
    <w:p>
      <w:r>
        <w:t xml:space="preserve">Answer: b</w:t>
      </w:r>
    </w:p>
    <w:p>
      <w:r>
        <w:t xml:space="preserve">Solution: Ketoconazole is a weak base that requires an acidic environment (pH &lt;3) for ionization and absorption. Antacids and H2-blockers increase gastric pH, reducing ketoconazole dissolution and absorption by 50-90%. Administration should be separated by 2+ hours. This interaction exemplifies the importance of drug-disease state understanding. Fluconazole and itraconazole also have pH-dependent absorption.</w:t>
      </w:r>
    </w:p>
    <w:p>
      <w:r>
        <w:t xml:space="preserve">Positive Marks: 1</w:t>
      </w:r>
    </w:p>
    <w:p>
      <w:r>
        <w:t xml:space="preserve">Negative Marks: 0.33</w:t>
      </w:r>
    </w:p>
    <w:p/>
    <w:p>
      <w:r>
        <w:rPr>
          <w:b/>
        </w:rPr>
        <w:t xml:space="preserve">Question: A patient with pulmonary aspergillosis who received adequate voriconazole therapy for 4 weeks shows microbiological failure with persistent fungal cultures. Which pharmacokinetic factor best explains this treatment failure?</w:t>
      </w:r>
    </w:p>
    <w:p>
      <w:r>
        <w:t xml:space="preserve">(a) Rapid hepatic metabolism eliminating drug before lung penetration</w:t>
      </w:r>
    </w:p>
    <w:p>
      <w:r>
        <w:t xml:space="preserve">(b) Variable and suboptimal lung tissue penetration despite adequate serum levels</w:t>
      </w:r>
    </w:p>
    <w:p>
      <w:r>
        <w:t xml:space="preserve">(c) Fungal resistance to triazoles</w:t>
      </w:r>
    </w:p>
    <w:p>
      <w:r>
        <w:t xml:space="preserve">(d) Rapid renal clearance of voriconazole</w:t>
      </w:r>
    </w:p>
    <w:p>
      <w:r>
        <w:t xml:space="preserve">Answer: b</w:t>
      </w:r>
    </w:p>
    <w:p>
      <w:r>
        <w:t xml:space="preserve">Solution: Voriconazole has unpredictable pharmacokinetics with variable lung penetration due to high plasma protein binding and large volume of distribution. Serum levels may be adequate while lung tissue levels remain subtherapeutic, explaining microbiological failure despite appropriate dosing. TDM (therapeutic drug monitoring) for voriconazole (target 1-5 µg/mL) is recommended in difficult-to-treat infections. This distinction between serum and tissue levels is a key hard concept.</w:t>
      </w:r>
    </w:p>
    <w:p>
      <w:r>
        <w:t xml:space="preserve">Positive Marks: 1</w:t>
      </w:r>
    </w:p>
    <w:p>
      <w:r>
        <w:t xml:space="preserve">Negative Marks: 0.33</w:t>
      </w:r>
    </w:p>
    <w:p/>
    <w:p>
      <w:r>
        <w:rPr>
          <w:b/>
        </w:rPr>
        <w:t xml:space="preserve">Question: A patient receives concurrent amphotericin B and flucytosine for cryptococcal meningitis. Which statement best describes the rationale for this combination despite increased toxicity risk?</w:t>
      </w:r>
    </w:p>
    <w:p>
      <w:r>
        <w:t xml:space="preserve">(a) Additive nephrotoxicity reduces fungal burden faster</w:t>
      </w:r>
    </w:p>
    <w:p>
      <w:r>
        <w:t xml:space="preserve">(b) Synergistic fungicidal action improves CNS penetration and fungal eradication</w:t>
      </w:r>
    </w:p>
    <w:p>
      <w:r>
        <w:t xml:space="preserve">(c) Flucytosine prevents amphotericin B nephrotoxicity</w:t>
      </w:r>
    </w:p>
    <w:p>
      <w:r>
        <w:t xml:space="preserve">(d) Combination reduces the required dose of both drugs</w:t>
      </w:r>
    </w:p>
    <w:p>
      <w:r>
        <w:t xml:space="preserve">Answer: b</w:t>
      </w:r>
    </w:p>
    <w:p>
      <w:r>
        <w:t xml:space="preserve">Solution: Amphotericin B + flucytosine is synergistic: amphotericin B damages the fungal cell membrane, enhancing flucytosine entry into fungal cells where it acts on nucleotide metabolism. This combination is superior for cryptococcal meningitis and endocarditis. The increased nephrotoxicity risk is managed through careful monitoring and hydration. The synergy allows reduced amphotericin B doses in some protocols, offsetting toxicity concerns. This is classic combination therapy reasoning.</w:t>
      </w:r>
    </w:p>
    <w:p>
      <w:r>
        <w:t xml:space="preserve">Positive Marks: 1</w:t>
      </w:r>
    </w:p>
    <w:p>
      <w:r>
        <w:t xml:space="preserve">Negative Marks: 0.33</w:t>
      </w:r>
    </w:p>
    <w:p/>
    <w:p>
      <w:r>
        <w:rPr>
          <w:b/>
        </w:rPr>
        <w:t xml:space="preserve">Question: A nurse administering liposomal amphotericin B through a peripheral IV develops thrombophlebitis at the infusion site. Which intervention would most effectively prevent this complication?</w:t>
      </w:r>
    </w:p>
    <w:p>
      <w:r>
        <w:t xml:space="preserve">(a) Apply topical NSAIDs at the IV site</w:t>
      </w:r>
    </w:p>
    <w:p>
      <w:r>
        <w:t xml:space="preserve">(b) Use smaller gauge (25-27G) cannulas for slower infusion</w:t>
      </w:r>
    </w:p>
    <w:p>
      <w:r>
        <w:t xml:space="preserve">(c) Administer through a central venous catheter</w:t>
      </w:r>
    </w:p>
    <w:p>
      <w:r>
        <w:t xml:space="preserve">(d) Flush with normal saline instead of dextrose solution</w:t>
      </w:r>
    </w:p>
    <w:p>
      <w:r>
        <w:t xml:space="preserve">Answer: c</w:t>
      </w:r>
    </w:p>
    <w:p>
      <w:r>
        <w:t xml:space="preserve">Solution: Amphotericin B is highly irritating to peripheral veins, causing thrombophlebitis, tissue necrosis, and vein damage. Central venous catheters (PICC, CVP) dramatically reduce vascular complications. Peripheral administration causes thrombophlebitis in 80% of patients. Adding hydrocortisone or DMSO locally may help, but central access is definitive. This is practical NORCET nursing knowledge essential for safe administration.</w:t>
      </w:r>
    </w:p>
    <w:p>
      <w:r>
        <w:t xml:space="preserve">Positive Marks: 1</w:t>
      </w:r>
    </w:p>
    <w:p>
      <w:r>
        <w:t xml:space="preserve">Negative Marks: 0.33</w:t>
      </w:r>
    </w:p>
    <w:p/>
    <w:p>
      <w:r>
        <w:rPr>
          <w:b/>
        </w:rPr>
        <w:t xml:space="preserve">Question: For a patient with cryptococcal meningitis, fluconazole monotherapy shows poor CSF penetration. Which agent is added to fluconazole to ensure adequate CNS concentrations and improve outcomes?</w:t>
      </w:r>
    </w:p>
    <w:p>
      <w:r>
        <w:t xml:space="preserve">(a) Griseofulvin for synergy</w:t>
      </w:r>
    </w:p>
    <w:p>
      <w:r>
        <w:t xml:space="preserve">(b) Flucytosine for additive CNS penetration and synergy</w:t>
      </w:r>
    </w:p>
    <w:p>
      <w:r>
        <w:t xml:space="preserve">(c) Terbinafine for enhanced fungicidal activity</w:t>
      </w:r>
    </w:p>
    <w:p>
      <w:r>
        <w:t xml:space="preserve">(d) Miconazole for better membrane penetration</w:t>
      </w:r>
    </w:p>
    <w:p>
      <w:r>
        <w:t xml:space="preserve">Answer: b</w:t>
      </w:r>
    </w:p>
    <w:p>
      <w:r>
        <w:t xml:space="preserve">Solution: Flucytosine (5-FC) has excellent CSF penetration and shows synergy with fluconazole against Cryptococcus neoformans. The combination is standard for cryptococcal meningitis induction therapy. Flucytosine's fluorouracil metabolite inhibits fungal nucleotide synthesis while fluconazole inhibits ergosterol synthesis—different mechanisms = synergy. Flucytosine's CSF concentration is 70-90% of serum levels, addressing the CNS penetration issue. This combination is referenced in AIIMS/NORCET standard protocols.</w:t>
      </w:r>
    </w:p>
    <w:p>
      <w:r>
        <w:t xml:space="preserve">Positive Marks: 1</w:t>
      </w:r>
    </w:p>
    <w:p>
      <w:r>
        <w:t xml:space="preserve">Negative Marks: 0.33</w:t>
      </w:r>
    </w:p>
    <w:p/>
    <w:p>
      <w:r>
        <w:rPr>
          <w:b/>
        </w:rPr>
        <w:t xml:space="preserve">Question: A patient starting itraconazole therapy develops acute hepatotoxicity with jaundice and ALT elevation &gt;400 U/L within 2 weeks. Which pharmacokinetic property of itraconazole is primarily responsible for this hepatotoxic potential?</w:t>
      </w:r>
    </w:p>
    <w:p>
      <w:r>
        <w:t xml:space="preserve">(a) Rapid renal excretion causing cumulative toxin formation</w:t>
      </w:r>
    </w:p>
    <w:p>
      <w:r>
        <w:t xml:space="preserve">(b) Hepatic metabolism via CYP3A4 with hepatotoxic metabolites</w:t>
      </w:r>
    </w:p>
    <w:p>
      <w:r>
        <w:t xml:space="preserve">(c) Poor protein binding causing free drug accumulation</w:t>
      </w:r>
    </w:p>
    <w:p>
      <w:r>
        <w:t xml:space="preserve">(d) Biliary excretion causing cholestasis</w:t>
      </w:r>
    </w:p>
    <w:p>
      <w:r>
        <w:t xml:space="preserve">Answer: b</w:t>
      </w:r>
    </w:p>
    <w:p>
      <w:r>
        <w:t xml:space="preserve">Solution: Itraconazole undergoes hepatic metabolism via CYP3A4, generating metabolites that can cause dose-dependent hepatotoxicity. Pre-existing liver disease significantly increases risk. Ketoconazole is historically more hepatotoxic, but itraconazole still requires LFT monitoring. The drug should be avoided in patients with baseline transaminitis. This represents a key pharmacokinetic mechanism underlying adverse effects—CYP450 metabolism and hepatotoxicity correlation.</w:t>
      </w:r>
    </w:p>
    <w:p>
      <w:r>
        <w:t xml:space="preserve">Positive Marks: 1</w:t>
      </w:r>
    </w:p>
    <w:p>
      <w:r>
        <w:t xml:space="preserve">Negative Marks: 0.33</w:t>
      </w:r>
    </w:p>
    <w:p/>
    <w:p>
      <w:r>
        <w:rPr>
          <w:b/>
        </w:rPr>
        <w:t xml:space="preserve">Question: During prolonged azole antifungal therapy, resistance in Candida species develops most likely when:</w:t>
      </w:r>
    </w:p>
    <w:p>
      <w:r>
        <w:t xml:space="preserve">(a) High doses of azoles are used continuously without interruption</w:t>
      </w:r>
    </w:p>
    <w:p>
      <w:r>
        <w:t xml:space="preserve">(b) Therapy is prolonged with subtherapeutic azole serum levels creating selective pressure</w:t>
      </w:r>
    </w:p>
    <w:p>
      <w:r>
        <w:t xml:space="preserve">(c) The patient is immunocompromised with CD4 &lt;50 cells/mm³</w:t>
      </w:r>
    </w:p>
    <w:p>
      <w:r>
        <w:t xml:space="preserve">(d) Multiple antifungal agents are used concurrently</w:t>
      </w:r>
    </w:p>
    <w:p>
      <w:r>
        <w:t xml:space="preserve">Answer: b</w:t>
      </w:r>
    </w:p>
    <w:p>
      <w:r>
        <w:t xml:space="preserve">Solution: Antifungal resistance develops through selective pressure when subtherapeutic drug levels fail to eliminate all fungal organisms, allowing resistant mutants to proliferate preferentially. This occurs with underdosing, poor adherence, or malabsorption. Paradoxically, high doses reduce resistance risk. Prolonged therapy with borderline levels creates the perfect environment for resistance emergence. TDM (therapeutic drug monitoring) prevents this by ensuring adequate dosing. This mechanism explains why therapy optimization prevents resistance.</w:t>
      </w:r>
    </w:p>
    <w:p>
      <w:r>
        <w:t xml:space="preserve">Positive Marks: 1</w:t>
      </w:r>
    </w:p>
    <w:p>
      <w:r>
        <w:t xml:space="preserve">Negative Marks: 0.33</w:t>
      </w:r>
    </w:p>
    <w:sectPr>
      <w:pgSz w:w="11906" w:h="16838"/>
      <w:pgMar w:top="1134" w:right="1134" w:bottom="1134" w:left="1134"/>
    </w:sectPr>
  </w:body>
</w:document>
</file>