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drugs is NOT included in the first-line regimen for treatment of newly diagnosed pulmonary tuberculosis according to WHO guidelines?</w:t>
      </w:r>
    </w:p>
    <w:p>
      <w:r>
        <w:t xml:space="preserve">(a) Rifampicin</w:t>
      </w:r>
    </w:p>
    <w:p>
      <w:r>
        <w:t xml:space="preserve">(b) Isoniazid</w:t>
      </w:r>
    </w:p>
    <w:p>
      <w:r>
        <w:t xml:space="preserve">(c) Fluoroquinolone</w:t>
      </w:r>
    </w:p>
    <w:p>
      <w:r>
        <w:t xml:space="preserve">(d) Pyrazinamide</w:t>
      </w:r>
    </w:p>
    <w:p>
      <w:r>
        <w:t xml:space="preserve">Answer: c</w:t>
      </w:r>
    </w:p>
    <w:p>
      <w:r>
        <w:t xml:space="preserve">Solution: The first-line antitubercular drugs are Rifampicin, Isoniazid, Pyrazinamide, and Ethambutol (RIPE). Fluoroquinolones are second-line agents used only for drug-resistant TB. RIPE forms the backbone of standard TB therapy with proven efficacy and manageable side effects. Fluoroquinolones like levofloxacin and moxifloxacin are reserved for MDR-TB treatment due to higher cost and resistance potential.</w:t>
      </w:r>
    </w:p>
    <w:p>
      <w:r>
        <w:t xml:space="preserve">Positive Marks: 1</w:t>
      </w:r>
    </w:p>
    <w:p>
      <w:r>
        <w:t xml:space="preserve">Negative Marks: 0.33</w:t>
      </w:r>
    </w:p>
    <w:p/>
    <w:p>
      <w:r>
        <w:rPr>
          <w:b/>
        </w:rPr>
        <w:t xml:space="preserve">Question: DOTS stands for:</w:t>
      </w:r>
    </w:p>
    <w:p>
      <w:r>
        <w:t xml:space="preserve">(a) Direct Observation Therapy System</w:t>
      </w:r>
    </w:p>
    <w:p>
      <w:r>
        <w:t xml:space="preserve">(b) Directly Observed Therapy Short course</w:t>
      </w:r>
    </w:p>
    <w:p>
      <w:r>
        <w:t xml:space="preserve">(c) Daily Observation Treatment Schedule</w:t>
      </w:r>
    </w:p>
    <w:p>
      <w:r>
        <w:t xml:space="preserve">(d) Dosage Observation Therapeutic Service</w:t>
      </w:r>
    </w:p>
    <w:p>
      <w:r>
        <w:t xml:space="preserve">Answer: b</w:t>
      </w:r>
    </w:p>
    <w:p>
      <w:r>
        <w:t xml:space="preserve">Solution: DOTS (Directly Observed Therapy Short course) is the WHO-recommended TB control strategy involving supervised drug administration to ensure compliance. Each dose is observed by a health worker to confirm ingestion. This has revolutionized TB control globally, achieving &gt;85% cure rates. Directly Observed Therapy ensures adherence, prevents resistance, and is a cornerstone of INC B.Sc Nursing curriculum.</w:t>
      </w:r>
    </w:p>
    <w:p>
      <w:r>
        <w:t xml:space="preserve">Positive Marks: 1</w:t>
      </w:r>
    </w:p>
    <w:p>
      <w:r>
        <w:t xml:space="preserve">Negative Marks: 0.33</w:t>
      </w:r>
    </w:p>
    <w:p/>
    <w:p>
      <w:r>
        <w:rPr>
          <w:b/>
        </w:rPr>
        <w:t xml:space="preserve">Question: The standard duration of anti-tubercular therapy for drug-susceptible pulmonary TB is:</w:t>
      </w:r>
    </w:p>
    <w:p>
      <w:r>
        <w:t xml:space="preserve">(a) 6 months</w:t>
      </w:r>
    </w:p>
    <w:p>
      <w:r>
        <w:t xml:space="preserve">(b) 9 months</w:t>
      </w:r>
    </w:p>
    <w:p>
      <w:r>
        <w:t xml:space="preserve">(c) 12 months</w:t>
      </w:r>
    </w:p>
    <w:p>
      <w:r>
        <w:t xml:space="preserve">(d) 18 months</w:t>
      </w:r>
    </w:p>
    <w:p>
      <w:r>
        <w:t xml:space="preserve">Answer: a</w:t>
      </w:r>
    </w:p>
    <w:p>
      <w:r>
        <w:t xml:space="preserve">Solution: The standard short-course chemotherapy regimen is 6 months total: 2 months intensive phase (RIPE) followed by 4 months continuation phase (RH). This regimen has &gt;95% cure rate for drug-susceptible TB. Prolonged therapy increases toxicity and reduces compliance without additional benefit. Nine months or longer is used only for TB meningitis or miliary TB.</w:t>
      </w:r>
    </w:p>
    <w:p>
      <w:r>
        <w:t xml:space="preserve">Positive Marks: 1</w:t>
      </w:r>
    </w:p>
    <w:p>
      <w:r>
        <w:t xml:space="preserve">Negative Marks: 0.33</w:t>
      </w:r>
    </w:p>
    <w:p/>
    <w:p>
      <w:r>
        <w:rPr>
          <w:b/>
        </w:rPr>
        <w:t xml:space="preserve">Question: Which antitubercular drug is most commonly associated with peripheral neuropathy?</w:t>
      </w:r>
    </w:p>
    <w:p>
      <w:r>
        <w:t xml:space="preserve">(a) Rifampicin</w:t>
      </w:r>
    </w:p>
    <w:p>
      <w:r>
        <w:t xml:space="preserve">(b) Isoniazid</w:t>
      </w:r>
    </w:p>
    <w:p>
      <w:r>
        <w:t xml:space="preserve">(c) Pyrazinamide</w:t>
      </w:r>
    </w:p>
    <w:p>
      <w:r>
        <w:t xml:space="preserve">(d) Ethambutol</w:t>
      </w:r>
    </w:p>
    <w:p>
      <w:r>
        <w:t xml:space="preserve">Answer: b</w:t>
      </w:r>
    </w:p>
    <w:p>
      <w:r>
        <w:t xml:space="preserve">Solution: Isoniazid causes dose-dependent peripheral neuropathy affecting sensory and motor nerves due to inhibition of pyridoxine (Vitamin B6) metabolism. This affects 5-10% of patients, especially slow acetylators. Pyridoxine supplementation (10-25 mg daily) is recommended prophylactically with isoniazid therapy. Rifampicin doesn't cause neuropathy; ethambutol causes optic neuritis; pyrazinamide causes hyperuricemia.</w:t>
      </w:r>
    </w:p>
    <w:p>
      <w:r>
        <w:t xml:space="preserve">Positive Marks: 1</w:t>
      </w:r>
    </w:p>
    <w:p>
      <w:r>
        <w:t xml:space="preserve">Negative Marks: 0.33</w:t>
      </w:r>
    </w:p>
    <w:p/>
    <w:p>
      <w:r>
        <w:rPr>
          <w:b/>
        </w:rPr>
        <w:t xml:space="preserve">Question: Isoniazid undergoes rapid acetylation in the body. Patients who are slow acetylators:</w:t>
      </w:r>
    </w:p>
    <w:p>
      <w:r>
        <w:t xml:space="preserve">(a) Achieve better drug levels and require dose reduction</w:t>
      </w:r>
    </w:p>
    <w:p>
      <w:r>
        <w:t xml:space="preserve">(b) Have increased risk of toxicity and peripheral neuropathy</w:t>
      </w:r>
    </w:p>
    <w:p>
      <w:r>
        <w:t xml:space="preserve">(c) Show rapid emergence of drug resistance</w:t>
      </w:r>
    </w:p>
    <w:p>
      <w:r>
        <w:t xml:space="preserve">(d) Require twice daily dosing for optimal efficacy</w:t>
      </w:r>
    </w:p>
    <w:p>
      <w:r>
        <w:t xml:space="preserve">Answer: b</w:t>
      </w:r>
    </w:p>
    <w:p>
      <w:r>
        <w:t xml:space="preserve">Solution: Slow acetylators lack sufficient N-acetyltransferase enzyme, leading to accumulation of isoniazid and increased toxicity including peripheral neuropathy, lupus-like syndrome, and hepatotoxicity. This affects about 50% of the population (varies by ethnicity). Slow acetylators need prophylactic pyridoxine and closer monitoring. Fast acetylators paradoxically show better compliance but need standard doses; higher doses in slow acetylators increase adverse effects without benefit.</w:t>
      </w:r>
    </w:p>
    <w:p>
      <w:r>
        <w:t xml:space="preserve">Positive Marks: 1</w:t>
      </w:r>
    </w:p>
    <w:p>
      <w:r>
        <w:t xml:space="preserve">Negative Marks: 0.33</w:t>
      </w:r>
    </w:p>
    <w:p/>
    <w:p>
      <w:r>
        <w:rPr>
          <w:b/>
        </w:rPr>
        <w:t xml:space="preserve">Question: Which statement about rifampicin is CORRECT?</w:t>
      </w:r>
    </w:p>
    <w:p>
      <w:r>
        <w:t xml:space="preserve">(a) It is primarily eliminated unchanged in urine</w:t>
      </w:r>
    </w:p>
    <w:p>
      <w:r>
        <w:t xml:space="preserve">(b) It is a potent inducer of cytochrome P450 enzymes</w:t>
      </w:r>
    </w:p>
    <w:p>
      <w:r>
        <w:t xml:space="preserve">(c) It cannot be used in patients with liver disease</w:t>
      </w:r>
    </w:p>
    <w:p>
      <w:r>
        <w:t xml:space="preserve">(d) It causes green discoloration of urine as a contraindication to continue therapy</w:t>
      </w:r>
    </w:p>
    <w:p>
      <w:r>
        <w:t xml:space="preserve">Answer: b</w:t>
      </w:r>
    </w:p>
    <w:p>
      <w:r>
        <w:t xml:space="preserve">Solution: Rifampicin is a potent CYP450 inducer, significantly increasing metabolism of many drugs including oral contraceptives, warfarin, and antiretrovirals, reducing their efficacy. It is hepatically metabolized and excreted in bile and urine. While it requires caution in severe liver disease, it can be used with monitoring. Orange-red discoloration of body fluids (urine, tears, sweat) is a harmless expected effect, not a contraindication to continue therapy.</w:t>
      </w:r>
    </w:p>
    <w:p>
      <w:r>
        <w:t xml:space="preserve">Positive Marks: 1</w:t>
      </w:r>
    </w:p>
    <w:p>
      <w:r>
        <w:t xml:space="preserve">Negative Marks: 0.33</w:t>
      </w:r>
    </w:p>
    <w:p/>
    <w:p>
      <w:r>
        <w:rPr>
          <w:b/>
        </w:rPr>
        <w:t xml:space="preserve">Question: Pyrazinamide (PZA) is contraindicated or requires extreme caution in patients with:</w:t>
      </w:r>
    </w:p>
    <w:p>
      <w:r>
        <w:t xml:space="preserve">(a) Hypertension and diabetes mellitus</w:t>
      </w:r>
    </w:p>
    <w:p>
      <w:r>
        <w:t xml:space="preserve">(b) Gout or hyperuricemia</w:t>
      </w:r>
    </w:p>
    <w:p>
      <w:r>
        <w:t xml:space="preserve">(c) Hypersensitivity to other antitubercular drugs</w:t>
      </w:r>
    </w:p>
    <w:p>
      <w:r>
        <w:t xml:space="preserve">(d) Chronic kidney disease Stage 2</w:t>
      </w:r>
    </w:p>
    <w:p>
      <w:r>
        <w:t xml:space="preserve">Answer: b</w:t>
      </w:r>
    </w:p>
    <w:p>
      <w:r>
        <w:t xml:space="preserve">Solution: Pyrazinamide causes hyperuricemia by inhibiting renal excretion of uric acid, precipitating gout in susceptible individuals or causing acute gouty arthritis. It should be avoided or used with caution in patients with gout history. PZA is less toxic than other antiTB drugs and can be used in hypertension and early CKD. Hyperuricemia occurs in &gt;50% of patients but is usually asymptomatic and doesn't require stopping therapy unless symptomatic gout develops.</w:t>
      </w:r>
    </w:p>
    <w:p>
      <w:r>
        <w:t xml:space="preserve">Positive Marks: 1</w:t>
      </w:r>
    </w:p>
    <w:p>
      <w:r>
        <w:t xml:space="preserve">Negative Marks: 0.33</w:t>
      </w:r>
    </w:p>
    <w:p/>
    <w:p>
      <w:r>
        <w:rPr>
          <w:b/>
        </w:rPr>
        <w:t xml:space="preserve">Question: Which antitubercular drug is most commonly associated with red-green color blindness?</w:t>
      </w:r>
    </w:p>
    <w:p>
      <w:r>
        <w:t xml:space="preserve">(a) Isoniazid</w:t>
      </w:r>
    </w:p>
    <w:p>
      <w:r>
        <w:t xml:space="preserve">(b) Rifampicin</w:t>
      </w:r>
    </w:p>
    <w:p>
      <w:r>
        <w:t xml:space="preserve">(c) Ethambutol</w:t>
      </w:r>
    </w:p>
    <w:p>
      <w:r>
        <w:t xml:space="preserve">(d) Pyrazinamide</w:t>
      </w:r>
    </w:p>
    <w:p>
      <w:r>
        <w:t xml:space="preserve">Answer: c</w:t>
      </w:r>
    </w:p>
    <w:p>
      <w:r>
        <w:t xml:space="preserve">Solution: Ethambutol causes optic neuritis leading to red-green color blindness (decreased visual acuity, central scotoma, red-green color discrimination loss). This is dose-dependent and occurs in 1-2% of patients on standard doses. Vision monitoring before and monthly during therapy is recommended. This adverse effect is reversible if detected early and ethambutol is discontinued. Color blindness testing is mandatory in ethambutol therapy monitoring.</w:t>
      </w:r>
    </w:p>
    <w:p>
      <w:r>
        <w:t xml:space="preserve">Positive Marks: 1</w:t>
      </w:r>
    </w:p>
    <w:p>
      <w:r>
        <w:t xml:space="preserve">Negative Marks: 0.33</w:t>
      </w:r>
    </w:p>
    <w:p/>
    <w:p>
      <w:r>
        <w:rPr>
          <w:b/>
        </w:rPr>
        <w:t xml:space="preserve">Question: According to WHO classification, a patient with smear-positive pulmonary TB and no risk factors for drug resistance should receive:</w:t>
      </w:r>
    </w:p>
    <w:p>
      <w:r>
        <w:t xml:space="preserve">(a) 2HRZE/4HR (Category I)</w:t>
      </w:r>
    </w:p>
    <w:p>
      <w:r>
        <w:t xml:space="preserve">(b) 2HRZES/1HRZE/5HR (Category II)</w:t>
      </w:r>
    </w:p>
    <w:p>
      <w:r>
        <w:t xml:space="preserve">(c) 6HRZE (extended)</w:t>
      </w:r>
    </w:p>
    <w:p>
      <w:r>
        <w:t xml:space="preserve">(d) 2HRZE/4HRE (Category III)</w:t>
      </w:r>
    </w:p>
    <w:p>
      <w:r>
        <w:t xml:space="preserve">Answer: a</w:t>
      </w:r>
    </w:p>
    <w:p>
      <w:r>
        <w:t xml:space="preserve">Solution: Category I (new TB patients) requires 2 months intensive HRZE followed by 4 months continuation HR = 2HRZE/4HR. Category II is for retreatment cases with added streptomycin and ethambutol extended regimens. Category III is for drug-resistant TB requiring longer and more complex regimens with second-line drugs. Standard nomenclature: first number = months, letters = drugs used.</w:t>
      </w:r>
    </w:p>
    <w:p>
      <w:r>
        <w:t xml:space="preserve">Positive Marks: 1</w:t>
      </w:r>
    </w:p>
    <w:p>
      <w:r>
        <w:t xml:space="preserve">Negative Marks: 0.33</w:t>
      </w:r>
    </w:p>
    <w:p/>
    <w:p>
      <w:r>
        <w:rPr>
          <w:b/>
        </w:rPr>
        <w:t xml:space="preserve">Question: A 35-year-old patient on antitubercular therapy develops sudden onset hearing loss and vertigo. The most likely culprit drug is:</w:t>
      </w:r>
    </w:p>
    <w:p>
      <w:r>
        <w:t xml:space="preserve">(a) Isoniazid</w:t>
      </w:r>
    </w:p>
    <w:p>
      <w:r>
        <w:t xml:space="preserve">(b) Streptomycin</w:t>
      </w:r>
    </w:p>
    <w:p>
      <w:r>
        <w:t xml:space="preserve">(c) Rifampicin</w:t>
      </w:r>
    </w:p>
    <w:p>
      <w:r>
        <w:t xml:space="preserve">(d) Pyrazinamide</w:t>
      </w:r>
    </w:p>
    <w:p>
      <w:r>
        <w:t xml:space="preserve">Answer: b</w:t>
      </w:r>
    </w:p>
    <w:p>
      <w:r>
        <w:t xml:space="preserve">Solution: Streptomycin, an aminoglycoside, causes ototoxicity affecting the 8th cranial nerve leading to hearing loss, vertigo, and tinnitus. It is dose and duration-dependent and more common in elderly patients, renal impairment, and those with loop diuretics. Streptomycin is used only in first-line regimens in some protocols or as second-line drug. Early detection through audiometry is essential; discontinuation may prevent progression but may not reverse established hearing loss.</w:t>
      </w:r>
    </w:p>
    <w:p>
      <w:r>
        <w:t xml:space="preserve">Positive Marks: 1</w:t>
      </w:r>
    </w:p>
    <w:p>
      <w:r>
        <w:t xml:space="preserve">Negative Marks: 0.33</w:t>
      </w:r>
    </w:p>
    <w:p/>
    <w:p>
      <w:r>
        <w:rPr>
          <w:b/>
        </w:rPr>
        <w:t xml:space="preserve">Question: Which drug-drug interaction is most clinically significant when rifampicin is combined with oral contraceptives?</w:t>
      </w:r>
    </w:p>
    <w:p>
      <w:r>
        <w:t xml:space="preserve">(a) Increased contraceptive efficacy requiring dose adjustment</w:t>
      </w:r>
    </w:p>
    <w:p>
      <w:r>
        <w:t xml:space="preserve">(b) Decreased oral contraceptive levels causing contraceptive failure</w:t>
      </w:r>
    </w:p>
    <w:p>
      <w:r>
        <w:t xml:space="preserve">(c) Severe hepatotoxicity with both drugs</w:t>
      </w:r>
    </w:p>
    <w:p>
      <w:r>
        <w:t xml:space="preserve">(d) Increased risk of thromboembolic events</w:t>
      </w:r>
    </w:p>
    <w:p>
      <w:r>
        <w:t xml:space="preserve">Answer: b</w:t>
      </w:r>
    </w:p>
    <w:p>
      <w:r>
        <w:t xml:space="preserve">Solution: Rifampicin induces CYP3A4, accelerating metabolism of oral contraceptives and reducing their plasma levels significantly, leading to breakthrough bleeding and contraceptive failure. Women on TB therapy with rifampicin should use additional contraceptive methods or switch to non-hormonal contraception. This is a critical counseling point in TB management. The interaction occurs within days of starting rifampicin and persists throughout therapy.</w:t>
      </w:r>
    </w:p>
    <w:p>
      <w:r>
        <w:t xml:space="preserve">Positive Marks: 1</w:t>
      </w:r>
    </w:p>
    <w:p>
      <w:r>
        <w:t xml:space="preserve">Negative Marks: 0.33</w:t>
      </w:r>
    </w:p>
    <w:p/>
    <w:p>
      <w:r>
        <w:rPr>
          <w:b/>
        </w:rPr>
        <w:t xml:space="preserve">Question: A TB patient with hepatitis B co-infection requires special consideration regarding which antitubercular drug?</w:t>
      </w:r>
    </w:p>
    <w:p>
      <w:r>
        <w:t xml:space="preserve">(a) Pyrazinamide needs caution due to hepatotoxicity</w:t>
      </w:r>
    </w:p>
    <w:p>
      <w:r>
        <w:t xml:space="preserve">(b) Ethambutol is contraindicated in all cases</w:t>
      </w:r>
    </w:p>
    <w:p>
      <w:r>
        <w:t xml:space="preserve">(c) Streptomycin should be preferred over other agents</w:t>
      </w:r>
    </w:p>
    <w:p>
      <w:r>
        <w:t xml:space="preserve">(d) Rifampicin should be doubled for better efficacy</w:t>
      </w:r>
    </w:p>
    <w:p>
      <w:r>
        <w:t xml:space="preserve">Answer: a</w:t>
      </w:r>
    </w:p>
    <w:p>
      <w:r>
        <w:t xml:space="preserve">Solution: Pyrazinamide is hepatotoxic and requires caution in patients with hepatitis B or pre-existing liver disease. TB patients with hepatitis B need careful baseline LFT assessment and close monitoring during therapy. Alternative PZA-sparing regimens may be considered in severe HBV-related liver disease. Isoniazid and rifampicin also cause hepatotoxicity but standard doses can often be used with monitoring. Regular LFT monitoring is mandatory in all TB-HBV co-infected patients.</w:t>
      </w:r>
    </w:p>
    <w:p>
      <w:r>
        <w:t xml:space="preserve">Positive Marks: 1</w:t>
      </w:r>
    </w:p>
    <w:p>
      <w:r>
        <w:t xml:space="preserve">Negative Marks: 0.33</w:t>
      </w:r>
    </w:p>
    <w:p/>
    <w:p>
      <w:r>
        <w:rPr>
          <w:b/>
        </w:rPr>
        <w:t xml:space="preserve">Question: The most important monitoring parameter during ethambutol therapy is:</w:t>
      </w:r>
    </w:p>
    <w:p>
      <w:r>
        <w:t xml:space="preserve">(a) Serum uric acid level monthly</w:t>
      </w:r>
    </w:p>
    <w:p>
      <w:r>
        <w:t xml:space="preserve">(b) Colour vision assessment and visual acuity monthly</w:t>
      </w:r>
    </w:p>
    <w:p>
      <w:r>
        <w:t xml:space="preserve">(c) Liver function tests weekly</w:t>
      </w:r>
    </w:p>
    <w:p>
      <w:r>
        <w:t xml:space="preserve">(d) Complete blood count every 15 days</w:t>
      </w:r>
    </w:p>
    <w:p>
      <w:r>
        <w:t xml:space="preserve">Answer: b</w:t>
      </w:r>
    </w:p>
    <w:p>
      <w:r>
        <w:t xml:space="preserve">Solution: Ethambutol's primary serious adverse effect is optic neuritis causing vision loss and color blindness. Monthly eye examination for visual acuity and Ishihara color blindness testing is essential. Other monitoring is standard for all TB patients. Early detection allows discontinuation before irreversible damage. Baseline eye examination before starting therapy is mandatory. Serum uric acid monitoring is not necessary as hyperuricemia from ethambutol is usually asymptomatic.</w:t>
      </w:r>
    </w:p>
    <w:p>
      <w:r>
        <w:t xml:space="preserve">Positive Marks: 1</w:t>
      </w:r>
    </w:p>
    <w:p>
      <w:r>
        <w:t xml:space="preserve">Negative Marks: 0.33</w:t>
      </w:r>
    </w:p>
    <w:p/>
    <w:p>
      <w:r>
        <w:rPr>
          <w:b/>
        </w:rPr>
        <w:t xml:space="preserve">Question: Drug-resistant TB (MDR-TB) is defined as resistance to:</w:t>
      </w:r>
    </w:p>
    <w:p>
      <w:r>
        <w:t xml:space="preserve">(a) Any two first-line antitubercular drugs</w:t>
      </w:r>
    </w:p>
    <w:p>
      <w:r>
        <w:t xml:space="preserve">(b) Rifampicin and Isoniazid simultaneously</w:t>
      </w:r>
    </w:p>
    <w:p>
      <w:r>
        <w:t xml:space="preserve">(c) Rifampicin, Isoniazid, and any fluoroquinolone</w:t>
      </w:r>
    </w:p>
    <w:p>
      <w:r>
        <w:t xml:space="preserve">(d) All four first-line drugs (RIPE)</w:t>
      </w:r>
    </w:p>
    <w:p>
      <w:r>
        <w:t xml:space="preserve">Answer: b</w:t>
      </w:r>
    </w:p>
    <w:p>
      <w:r>
        <w:t xml:space="preserve">Solution: MDR-TB (Multi-Drug Resistant) is specifically defined as resistance to at least isoniazid (INH) and rifampicin (RIF), the two most potent first-line drugs. XDR-TB adds resistance to fluoroquinolones and injectable second-line agents. MDR-TB requires 20+ month therapy with second-line drugs (fluoroquinolones, linezolid, bedaquiline, delamanid). This definition is standardized globally by WHO for epidemiological tracking and treatment protocols.</w:t>
      </w:r>
    </w:p>
    <w:p>
      <w:r>
        <w:t xml:space="preserve">Positive Marks: 1</w:t>
      </w:r>
    </w:p>
    <w:p>
      <w:r>
        <w:t xml:space="preserve">Negative Marks: 0.33</w:t>
      </w:r>
    </w:p>
    <w:p/>
    <w:p>
      <w:r>
        <w:rPr>
          <w:b/>
        </w:rPr>
        <w:t xml:space="preserve">Question: A pregnant patient with newly diagnosed TB should receive which treatment regimen?</w:t>
      </w:r>
    </w:p>
    <w:p>
      <w:r>
        <w:t xml:space="preserve">(a) Standard 2HRZE/4HR regimen (PZA can be used safely)</w:t>
      </w:r>
    </w:p>
    <w:p>
      <w:r>
        <w:t xml:space="preserve">(b) 2HRZE/4HR but omitting pyrazinamide due to teratogenicity concerns</w:t>
      </w:r>
    </w:p>
    <w:p>
      <w:r>
        <w:t xml:space="preserve">(c) 6HR extended regimen (9 months total)</w:t>
      </w:r>
    </w:p>
    <w:p>
      <w:r>
        <w:t xml:space="preserve">(d) Defer treatment until after delivery to avoid fetal exposure</w:t>
      </w:r>
    </w:p>
    <w:p>
      <w:r>
        <w:t xml:space="preserve">Answer: a</w:t>
      </w:r>
    </w:p>
    <w:p>
      <w:r>
        <w:t xml:space="preserve">Solution: All four first-line drugs (HRZE) are considered safe in pregnancy including pyrazinamide. Recent WHO guidelines confirm PZA safety in pregnancy based on accumulated evidence. Untreated TB poses greater risks to mother and fetus than standard therapy. Standard 2HRZE/4HR regimen is recommended. Streptomycin should be avoided due to permanent bilateral 8th nerve deafness in fetus. Early TB treatment in pregnancy improves maternal and fetal outcomes significantly.</w:t>
      </w:r>
    </w:p>
    <w:p>
      <w:r>
        <w:t xml:space="preserve">Positive Marks: 1</w:t>
      </w:r>
    </w:p>
    <w:p>
      <w:r>
        <w:t xml:space="preserve">Negative Marks: 0.33</w:t>
      </w:r>
    </w:p>
    <w:p/>
    <w:p>
      <w:r>
        <w:rPr>
          <w:b/>
        </w:rPr>
        <w:t xml:space="preserve">Question: Which second-line antitubercular drug is a protein synthesis inhibitor and shows activity against MDR-TB and XDR-TB?</w:t>
      </w:r>
    </w:p>
    <w:p>
      <w:r>
        <w:t xml:space="preserve">(a) Ofloxacin</w:t>
      </w:r>
    </w:p>
    <w:p>
      <w:r>
        <w:t xml:space="preserve">(b) Linezolid</w:t>
      </w:r>
    </w:p>
    <w:p>
      <w:r>
        <w:t xml:space="preserve">(c) Moxifloxacin</w:t>
      </w:r>
    </w:p>
    <w:p>
      <w:r>
        <w:t xml:space="preserve">(d) Para-aminosalicylic acid (PAS)</w:t>
      </w:r>
    </w:p>
    <w:p>
      <w:r>
        <w:t xml:space="preserve">Answer: b</w:t>
      </w:r>
    </w:p>
    <w:p>
      <w:r>
        <w:t xml:space="preserve">Solution: Linezolid is a unique oxazolidinone antibiotic inhibiting bacterial protein synthesis (50S ribosomal subunit). It has excellent activity against MDR-TB and XDR-TB and shows high intracellular penetration. Linezolid is increasingly used in second-line TB regimens. Fluoroquinolones (ofloxacin, moxifloxacin) are also second-line but work differently. PAS is older and less effective. Main limitation of linezolid is bone marrow suppression and peripheral neuropathy with prolonged use.</w:t>
      </w:r>
    </w:p>
    <w:p>
      <w:r>
        <w:t xml:space="preserve">Positive Marks: 1</w:t>
      </w:r>
    </w:p>
    <w:p>
      <w:r>
        <w:t xml:space="preserve">Negative Marks: 0.33</w:t>
      </w:r>
    </w:p>
    <w:p/>
    <w:p>
      <w:r>
        <w:rPr>
          <w:b/>
        </w:rPr>
        <w:t xml:space="preserve">Question: A patient with TB is found to have hypokalemia after 2 weeks of starting anti-TB therapy. Which drug is most likely responsible?</w:t>
      </w:r>
    </w:p>
    <w:p>
      <w:r>
        <w:t xml:space="preserve">(a) Isoniazid causing urinary losses</w:t>
      </w:r>
    </w:p>
    <w:p>
      <w:r>
        <w:t xml:space="preserve">(b) Streptomycin causing nephrotoxicity</w:t>
      </w:r>
    </w:p>
    <w:p>
      <w:r>
        <w:t xml:space="preserve">(c) Rifampicin inducing metabolic alkalosis</w:t>
      </w:r>
    </w:p>
    <w:p>
      <w:r>
        <w:t xml:space="preserve">(d) Ethambutol causing renal tubular dysfunction</w:t>
      </w:r>
    </w:p>
    <w:p>
      <w:r>
        <w:t xml:space="preserve">Answer: b</w:t>
      </w:r>
    </w:p>
    <w:p>
      <w:r>
        <w:t xml:space="preserve">Solution: Streptomycin, as an aminoglycoside, causes nephrotoxicity and renal tubular damage leading to electrolyte losses including potassium, resulting in hypokalemia. It also causes hypomagnesemia and hypocalcemia. Nephrotoxicity is dose and duration-dependent. Baseline renal function and electrolytes should be checked before starting streptomycin. Monitoring serum creatinine, BUN, and electrolytes is essential. Hypokalemia predisposes to cardiac arrhythmias and requires correction.</w:t>
      </w:r>
    </w:p>
    <w:p>
      <w:r>
        <w:t xml:space="preserve">Positive Marks: 1</w:t>
      </w:r>
    </w:p>
    <w:p>
      <w:r>
        <w:t xml:space="preserve">Negative Marks: 0.33</w:t>
      </w:r>
    </w:p>
    <w:p/>
    <w:p>
      <w:r>
        <w:rPr>
          <w:b/>
        </w:rPr>
        <w:t xml:space="preserve">Question: Hepatotoxicity is a serious concern with antitubercular drugs. Which combination of drugs poses the highest hepatotoxic risk?</w:t>
      </w:r>
    </w:p>
    <w:p>
      <w:r>
        <w:t xml:space="preserve">(a) Rifampicin + Ethambutol + Streptomycin</w:t>
      </w:r>
    </w:p>
    <w:p>
      <w:r>
        <w:t xml:space="preserve">(b) Isoniazid + Pyrazinamide + Rifampicin</w:t>
      </w:r>
    </w:p>
    <w:p>
      <w:r>
        <w:t xml:space="preserve">(c) Isoniazid + Ethambutol + Streptomycin</w:t>
      </w:r>
    </w:p>
    <w:p>
      <w:r>
        <w:t xml:space="preserve">(d) Rifampicin + Ethambutol + Isoniazid</w:t>
      </w:r>
    </w:p>
    <w:p>
      <w:r>
        <w:t xml:space="preserve">Answer: b</w:t>
      </w:r>
    </w:p>
    <w:p>
      <w:r>
        <w:t xml:space="preserve">Solution: Isoniazid, Pyrazinamide, and Rifampicin together carry the highest hepatotoxic risk as all three are hepatically metabolized and have individual hepatotoxic potential. The incidence of drug-induced liver injury (DILI) is 2-3% with this combination. Baseline LFTs are mandatory before starting therapy and should be monitored at 2 weeks, then monthly. Patients with pre-existing liver disease or hepatitis require modified regimens or careful monitoring. Elevation of transaminases &gt;3x upper limit normal necessitates stopping or modifying therapy.</w:t>
      </w:r>
    </w:p>
    <w:p>
      <w:r>
        <w:t xml:space="preserve">Positive Marks: 1</w:t>
      </w:r>
    </w:p>
    <w:p>
      <w:r>
        <w:t xml:space="preserve">Negative Marks: 0.33</w:t>
      </w:r>
    </w:p>
    <w:p/>
    <w:p>
      <w:r>
        <w:rPr>
          <w:b/>
        </w:rPr>
        <w:t xml:space="preserve">Question: According to DOTS strategy implementation, the primary responsibility of the ASHA (Accredited Social Health Activist) worker in TB-DOTS is:</w:t>
      </w:r>
    </w:p>
    <w:p>
      <w:r>
        <w:t xml:space="preserve">(a) Conducting sputum smear microscopy examination</w:t>
      </w:r>
    </w:p>
    <w:p>
      <w:r>
        <w:t xml:space="preserve">(b) Directly observing and administering antitubercular drugs daily</w:t>
      </w:r>
    </w:p>
    <w:p>
      <w:r>
        <w:t xml:space="preserve">(c) Prescribing and adjusting antitubercular drug doses</w:t>
      </w:r>
    </w:p>
    <w:p>
      <w:r>
        <w:t xml:space="preserve">(d) Performing X-ray chest for TB diagnosis</w:t>
      </w:r>
    </w:p>
    <w:p>
      <w:r>
        <w:t xml:space="preserve">Answer: b</w:t>
      </w:r>
    </w:p>
    <w:p>
      <w:r>
        <w:t xml:space="preserve">Solution: The ASHA/DOTS worker's primary role is directly observing the patient taking each dose of antitubercular medication to ensure adherence (Directly Observed Therapy). This is central to DOTS success globally. The ASHA does not prescribe, diagnose, or perform diagnostics but acts as a community liaison ensuring compliance. DOTS supervision by trained health workers has revolutionized TB cure rates from ~50% to &gt;85% worldwide. ASHA is the backbone of DOTS implementation in primary health centers.</w:t>
      </w:r>
    </w:p>
    <w:p>
      <w:r>
        <w:t xml:space="preserve">Positive Marks: 1</w:t>
      </w:r>
    </w:p>
    <w:p>
      <w:r>
        <w:t xml:space="preserve">Negative Marks: 0.33</w:t>
      </w:r>
    </w:p>
    <w:p/>
    <w:p>
      <w:r>
        <w:rPr>
          <w:b/>
        </w:rPr>
        <w:t xml:space="preserve">Question: A TB patient develops jaundice and elevated liver enzymes after 3 weeks of starting RIPE therapy. Current antitubercular drugs should be:</w:t>
      </w:r>
    </w:p>
    <w:p>
      <w:r>
        <w:t xml:space="preserve">(a) Continued as the jaundice will resolve spontaneously</w:t>
      </w:r>
    </w:p>
    <w:p>
      <w:r>
        <w:t xml:space="preserve">(b) Stopped immediately and not restarted (permanent contraindication)</w:t>
      </w:r>
    </w:p>
    <w:p>
      <w:r>
        <w:t xml:space="preserve">(c) Stopped, LFTs normalized, then reintroduced systematically one drug at a time</w:t>
      </w:r>
    </w:p>
    <w:p>
      <w:r>
        <w:t xml:space="preserve">(d) Continued but doses should be halved to reduce hepatotoxicity</w:t>
      </w:r>
    </w:p>
    <w:p>
      <w:r>
        <w:t xml:space="preserve">Answer: c</w:t>
      </w:r>
    </w:p>
    <w:p>
      <w:r>
        <w:t xml:space="preserve">Solution: Drug-induced liver injury (DILI) from antitubercular therapy requires immediate discontinuation of all drugs. After liver function improves (usually within 1-2 weeks off therapy), drugs are reintroduced systematically—first the safest drugs (ethambutol, streptomycin), then isoniazid and rifampicin, finally pyrazinamide. This rechallenge identifies the offending drug(s). Dose reduction is not recommended as it increases resistance risk. Up to 75% of patients can be successfully retreated after DILI. Complete drug avoidance is rarely necessary.</w:t>
      </w:r>
    </w:p>
    <w:p>
      <w:r>
        <w:t xml:space="preserve">Positive Marks: 1</w:t>
      </w:r>
    </w:p>
    <w:p>
      <w:r>
        <w:t xml:space="preserve">Negative Marks: 0.33</w:t>
      </w:r>
    </w:p>
    <w:sectPr>
      <w:pgSz w:w="11906" w:h="16838"/>
      <w:pgMar w:top="1134" w:right="1134" w:bottom="1134" w:left="1134"/>
    </w:sectPr>
  </w:body>
</w:document>
</file>