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antiviral drug is a nucleoside reverse transcriptase inhibitor (NRTI) commonly used as a first-line agent in antiretroviral therapy?</w:t>
      </w:r>
    </w:p>
    <w:p>
      <w:r>
        <w:t xml:space="preserve">(a) Zidovudine (AZT)</w:t>
      </w:r>
    </w:p>
    <w:p>
      <w:r>
        <w:t xml:space="preserve">(b) Ritonavir</w:t>
      </w:r>
    </w:p>
    <w:p>
      <w:r>
        <w:t xml:space="preserve">(c) Nevirapine</w:t>
      </w:r>
    </w:p>
    <w:p>
      <w:r>
        <w:t xml:space="preserve">(d) Enfuvirtide</w:t>
      </w:r>
    </w:p>
    <w:p>
      <w:r>
        <w:t xml:space="preserve">Answer: a</w:t>
      </w:r>
    </w:p>
    <w:p>
      <w:r>
        <w:t xml:space="preserve">Solution: Zidovudine (AZT) is the prototypical NRTI and was the first FDA-approved antiretroviral agent. It inhibits reverse transcriptase by chain termination. Ritonavir is a protease inhibitor, nevirapine is an NNRTI, and enfuvirtide is a fusion inhibitor. AZT remains standard in many first-line regimens due to proven efficacy and extensive experience.</w:t>
      </w:r>
    </w:p>
    <w:p>
      <w:r>
        <w:t xml:space="preserve">Positive Marks: 1</w:t>
      </w:r>
    </w:p>
    <w:p>
      <w:r>
        <w:t xml:space="preserve">Negative Marks: 0.33</w:t>
      </w:r>
    </w:p>
    <w:p/>
    <w:p>
      <w:r>
        <w:rPr>
          <w:b/>
        </w:rPr>
        <w:t xml:space="preserve">Question: Acyclovir exerts its antiviral activity primarily through which mechanism?</w:t>
      </w:r>
    </w:p>
    <w:p>
      <w:r>
        <w:t xml:space="preserve">(a) Competitive inhibition of viral DNA polymerase after phosphorylation by viral thymidine kinase</w:t>
      </w:r>
    </w:p>
    <w:p>
      <w:r>
        <w:t xml:space="preserve">(b) Direct inhibition of viral reverse transcriptase</w:t>
      </w:r>
    </w:p>
    <w:p>
      <w:r>
        <w:t xml:space="preserve">(c) Blockade of viral protease enzyme</w:t>
      </w:r>
    </w:p>
    <w:p>
      <w:r>
        <w:t xml:space="preserve">(d) Prevention of viral envelope fusion with host cell membrane</w:t>
      </w:r>
    </w:p>
    <w:p>
      <w:r>
        <w:t xml:space="preserve">Answer: a</w:t>
      </w:r>
    </w:p>
    <w:p>
      <w:r>
        <w:t xml:space="preserve">Solution: Acyclovir requires phosphorylation by viral thymidine kinase to become active, then inhibits viral DNA polymerase. This selective mechanism makes it highly specific for herpes viruses. Reverse transcriptase inhibitors work differently (option b). Protease inhibitors block proteases (option c), and fusion inhibitors prevent membrane fusion (option d). The KEY is that acyclovir is a guanosine analogue requiring viral enzyme activation.</w:t>
      </w:r>
    </w:p>
    <w:p>
      <w:r>
        <w:t xml:space="preserve">Positive Marks: 1</w:t>
      </w:r>
    </w:p>
    <w:p>
      <w:r>
        <w:t xml:space="preserve">Negative Marks: 0.33</w:t>
      </w:r>
    </w:p>
    <w:p/>
    <w:p>
      <w:r>
        <w:rPr>
          <w:b/>
        </w:rPr>
        <w:t xml:space="preserve">Question: Which is the most common and severe adverse effect of zidovudine (AZT) therapy?</w:t>
      </w:r>
    </w:p>
    <w:p>
      <w:r>
        <w:t xml:space="preserve">(a) Bone marrow suppression leading to anemia and neutropenia</w:t>
      </w:r>
    </w:p>
    <w:p>
      <w:r>
        <w:t xml:space="preserve">(b) Hepatotoxicity with elevated liver enzymes</w:t>
      </w:r>
    </w:p>
    <w:p>
      <w:r>
        <w:t xml:space="preserve">(c) Nephrotoxicity with acute kidney injury</w:t>
      </w:r>
    </w:p>
    <w:p>
      <w:r>
        <w:t xml:space="preserve">(d) Severe hypersensitivity reaction with rash</w:t>
      </w:r>
    </w:p>
    <w:p>
      <w:r>
        <w:t xml:space="preserve">Answer: a</w:t>
      </w:r>
    </w:p>
    <w:p>
      <w:r>
        <w:t xml:space="preserve">Solution: Bone marrow suppression is the classic dose-limiting toxicity of AZT, manifesting as macrocytic anemia and neutropenia, particularly in advanced HIV disease. Hepatotoxicity is rare with AZT (associated more with other antiretrovirals). Nephrotoxicity is not typical of AZT. Hypersensitivity reactions are rare. Remember: AZT causes ANEMIA - this is tested frequently.</w:t>
      </w:r>
    </w:p>
    <w:p>
      <w:r>
        <w:t xml:space="preserve">Positive Marks: 1</w:t>
      </w:r>
    </w:p>
    <w:p>
      <w:r>
        <w:t xml:space="preserve">Negative Marks: 0.33</w:t>
      </w:r>
    </w:p>
    <w:p/>
    <w:p>
      <w:r>
        <w:rPr>
          <w:b/>
        </w:rPr>
        <w:t xml:space="preserve">Question: Lamivudine (3TC) is active against both HIV and which other virus?</w:t>
      </w:r>
    </w:p>
    <w:p>
      <w:r>
        <w:t xml:space="preserve">(a) Hepatitis B virus</w:t>
      </w:r>
    </w:p>
    <w:p>
      <w:r>
        <w:t xml:space="preserve">(b) Hepatitis C virus</w:t>
      </w:r>
    </w:p>
    <w:p>
      <w:r>
        <w:t xml:space="preserve">(c) Herpes simplex virus</w:t>
      </w:r>
    </w:p>
    <w:p>
      <w:r>
        <w:t xml:space="preserve">(d) Cytomegalovirus</w:t>
      </w:r>
    </w:p>
    <w:p>
      <w:r>
        <w:t xml:space="preserve">Answer: a</w:t>
      </w:r>
    </w:p>
    <w:p>
      <w:r>
        <w:t xml:space="preserve">Solution: Lamivudine is a cytidine analogue NRTI effective against both HIV and hepatitis B virus, making it particularly valuable in co-infected patients. It must be used cautiously in HBsAg-positive patients due to risk of hepatitis flare upon discontinuation. HCV requires different antivirals (option b), and HSV/CMV are treated with other agents (options c, d). This dual activity is clinically important.</w:t>
      </w:r>
    </w:p>
    <w:p>
      <w:r>
        <w:t xml:space="preserve">Positive Marks: 1</w:t>
      </w:r>
    </w:p>
    <w:p>
      <w:r>
        <w:t xml:space="preserve">Negative Marks: 0.33</w:t>
      </w:r>
    </w:p>
    <w:p/>
    <w:p>
      <w:r>
        <w:rPr>
          <w:b/>
        </w:rPr>
        <w:t xml:space="preserve">Question: A 35-year-old HIV-positive patient on nevirapine develops fever, jaundice, and rash after 2 weeks of therapy. What is the most likely diagnosis?</w:t>
      </w:r>
    </w:p>
    <w:p>
      <w:r>
        <w:t xml:space="preserve">(a) Nevirapine-induced hepatotoxicity with hypersensitivity reaction</w:t>
      </w:r>
    </w:p>
    <w:p>
      <w:r>
        <w:t xml:space="preserve">(b) Opportunistic infection related to immune reconstitution</w:t>
      </w:r>
    </w:p>
    <w:p>
      <w:r>
        <w:t xml:space="preserve">(c) Drug interaction with another antiretroviral</w:t>
      </w:r>
    </w:p>
    <w:p>
      <w:r>
        <w:t xml:space="preserve">(d) Immune reconstitution inflammatory syndrome (IRIS)</w:t>
      </w:r>
    </w:p>
    <w:p>
      <w:r>
        <w:t xml:space="preserve">Answer: a</w:t>
      </w:r>
    </w:p>
    <w:p>
      <w:r>
        <w:t xml:space="preserve">Solution: Nevirapine is notorious for causing serious hepatotoxicity and hypersensitivity reactions within the first 2-6 weeks, especially in women and those with CD4 &gt;250 cells/µL. The combination of fever, jaundice, and rash is classic. IRIS (option d) occurs later after CD4 recovery. This hypersensitivity is why lead-in dosing is recommended with nevirapine.</w:t>
      </w:r>
    </w:p>
    <w:p>
      <w:r>
        <w:t xml:space="preserve">Positive Marks: 1</w:t>
      </w:r>
    </w:p>
    <w:p>
      <w:r>
        <w:t xml:space="preserve">Negative Marks: 0.33</w:t>
      </w:r>
    </w:p>
    <w:p/>
    <w:p>
      <w:r>
        <w:rPr>
          <w:b/>
        </w:rPr>
        <w:t xml:space="preserve">Question: Which protease inhibitor requires ritonavir as a pharmacokinetic booster to achieve adequate serum levels?</w:t>
      </w:r>
    </w:p>
    <w:p>
      <w:r>
        <w:t xml:space="preserve">(a) Most protease inhibitors including lopinavir and atazanavir</w:t>
      </w:r>
    </w:p>
    <w:p>
      <w:r>
        <w:t xml:space="preserve">(b) Only saquinavir requires booster therapy</w:t>
      </w:r>
    </w:p>
    <w:p>
      <w:r>
        <w:t xml:space="preserve">(c) Protease inhibitors do not require boosting</w:t>
      </w:r>
    </w:p>
    <w:p>
      <w:r>
        <w:t xml:space="preserve">(d) Ritonavir cannot be used with other protease inhibitors</w:t>
      </w:r>
    </w:p>
    <w:p>
      <w:r>
        <w:t xml:space="preserve">Answer: a</w:t>
      </w:r>
    </w:p>
    <w:p>
      <w:r>
        <w:t xml:space="preserve">Solution: Ritonavir is a potent CYP3A4 inhibitor used at sub-therapeutic doses as a booster to increase levels of other protease inhibitors. Lopinavir/ritonavir (Kaletra) and ritonavir-boosted atazanavir are standard combinations. This boosting strategy improves pharmacokinetics and reduces pill burden. Saquinavir alone doesn't achieve adequate levels without ritonavir boost.</w:t>
      </w:r>
    </w:p>
    <w:p>
      <w:r>
        <w:t xml:space="preserve">Positive Marks: 1</w:t>
      </w:r>
    </w:p>
    <w:p>
      <w:r>
        <w:t xml:space="preserve">Negative Marks: 0.33</w:t>
      </w:r>
    </w:p>
    <w:p/>
    <w:p>
      <w:r>
        <w:rPr>
          <w:b/>
        </w:rPr>
        <w:t xml:space="preserve">Question: A patient develops a painful rash in a dermatomal distribution while on antiretroviral therapy. Which NRTI is most likely responsible for this manifestation?</w:t>
      </w:r>
    </w:p>
    <w:p>
      <w:r>
        <w:t xml:space="preserve">(a) Lamivudine (3TC)</w:t>
      </w:r>
    </w:p>
    <w:p>
      <w:r>
        <w:t xml:space="preserve">(b) Stavudine (d4T)</w:t>
      </w:r>
    </w:p>
    <w:p>
      <w:r>
        <w:t xml:space="preserve">(c) Didanosine (ddI)</w:t>
      </w:r>
    </w:p>
    <w:p>
      <w:r>
        <w:t xml:space="preserve">(d) Abacavir (ABC)</w:t>
      </w:r>
    </w:p>
    <w:p>
      <w:r>
        <w:t xml:space="preserve">Answer: b</w:t>
      </w:r>
    </w:p>
    <w:p>
      <w:r>
        <w:t xml:space="preserve">Solution: Stavudine (d4T) is associated with mitochondrial toxicity and can cause painful peripheral neuropathy, though the exact dermatomal presentation here suggests herpes zoster reactivation. However, within NRTIs, stavudine carries the highest risk of neuropathy. Lamivudine and didanosine also cause neuropathy but less commonly than stavudine. Abacavir causes hypersensitivity but not neuropathy. Stavudine is largely phased out due to toxicity.</w:t>
      </w:r>
    </w:p>
    <w:p>
      <w:r>
        <w:t xml:space="preserve">Positive Marks: 1</w:t>
      </w:r>
    </w:p>
    <w:p>
      <w:r>
        <w:t xml:space="preserve">Negative Marks: 0.33</w:t>
      </w:r>
    </w:p>
    <w:p/>
    <w:p>
      <w:r>
        <w:rPr>
          <w:b/>
        </w:rPr>
        <w:t xml:space="preserve">Question: Which statement about efavirenz (EFV), a non-nucleoside reverse transcriptase inhibitor (NNRTI), is correct?</w:t>
      </w:r>
    </w:p>
    <w:p>
      <w:r>
        <w:t xml:space="preserve">(a) It has excellent CNS penetration but causes neuropsychiatric side effects in 50% of patients</w:t>
      </w:r>
    </w:p>
    <w:p>
      <w:r>
        <w:t xml:space="preserve">(b) It is safe in pregnancy and recommended for use in first trimester</w:t>
      </w:r>
    </w:p>
    <w:p>
      <w:r>
        <w:t xml:space="preserve">(c) It requires no dose adjustment in hepatic impairment</w:t>
      </w:r>
    </w:p>
    <w:p>
      <w:r>
        <w:t xml:space="preserve">(d) It has a long half-life allowing once-daily dosing but no drug interactions</w:t>
      </w:r>
    </w:p>
    <w:p>
      <w:r>
        <w:t xml:space="preserve">Answer: a</w:t>
      </w:r>
    </w:p>
    <w:p>
      <w:r>
        <w:t xml:space="preserve">Solution: Efavirenz crosses the blood-brain barrier and causes neuropsychiatric effects (dizziness, nightmares, impaired concentration) in up to 50% of patients, typically resolving in 2-4 weeks. It is CONTRAINDICATED in pregnancy (teratogenic, especially first trimester). It IS metabolized by CYP3A4 and has significant drug interactions. The neuropsych effects are a major limitation of EFV use.</w:t>
      </w:r>
    </w:p>
    <w:p>
      <w:r>
        <w:t xml:space="preserve">Positive Marks: 1</w:t>
      </w:r>
    </w:p>
    <w:p>
      <w:r>
        <w:t xml:space="preserve">Negative Marks: 0.33</w:t>
      </w:r>
    </w:p>
    <w:p/>
    <w:p>
      <w:r>
        <w:rPr>
          <w:b/>
        </w:rPr>
        <w:t xml:space="preserve">Question: Tenofovir (TDF), a nucleotide reverse transcriptase inhibitor, is associated with which serious long-term adverse effect?</w:t>
      </w:r>
    </w:p>
    <w:p>
      <w:r>
        <w:t xml:space="preserve">(a) Nephrotoxicity and bone loss (osteoporosis) with decreased glomerular filtration rate</w:t>
      </w:r>
    </w:p>
    <w:p>
      <w:r>
        <w:t xml:space="preserve">(b) Irreversible lipodystrophy with facial fat loss</w:t>
      </w:r>
    </w:p>
    <w:p>
      <w:r>
        <w:t xml:space="preserve">(c) Acute pancreatitis within first month of therapy</w:t>
      </w:r>
    </w:p>
    <w:p>
      <w:r>
        <w:t xml:space="preserve">(d) Severe lactic acidosis in all patients on long-term therapy</w:t>
      </w:r>
    </w:p>
    <w:p>
      <w:r>
        <w:t xml:space="preserve">Answer: a</w:t>
      </w:r>
    </w:p>
    <w:p>
      <w:r>
        <w:t xml:space="preserve">Solution: Tenofovir is a potent antiviral but causes dose-dependent nephrotoxicity (decreased GFR, proteinuria) and bone loss leading to osteoporosis. These effects are cumulative with prolonged use. Lipodystrophy is more associated with older antiretrovirals like stavudine. Pancreatitis is rare with TDF. Lactic acidosis is rare and not universal. Regular monitoring of renal function and bone density is needed with TDF.</w:t>
      </w:r>
    </w:p>
    <w:p>
      <w:r>
        <w:t xml:space="preserve">Positive Marks: 1</w:t>
      </w:r>
    </w:p>
    <w:p>
      <w:r>
        <w:t xml:space="preserve">Negative Marks: 0.33</w:t>
      </w:r>
    </w:p>
    <w:p/>
    <w:p>
      <w:r>
        <w:rPr>
          <w:b/>
        </w:rPr>
        <w:t xml:space="preserve">Question: An HIV patient on lopinavir/ritonavir is prescribed clarithromycin for treatment of MAC (Mycobacterium avium complex). What is the primary concern?</w:t>
      </w:r>
    </w:p>
    <w:p>
      <w:r>
        <w:t xml:space="preserve">(a) Significant drug interaction leading to increased protease inhibitor levels and potential toxicity</w:t>
      </w:r>
    </w:p>
    <w:p>
      <w:r>
        <w:t xml:space="preserve">(b) Clarithromycin reduces protease inhibitor absorption and efficacy</w:t>
      </w:r>
    </w:p>
    <w:p>
      <w:r>
        <w:t xml:space="preserve">(c) No significant interaction; combination can be used safely</w:t>
      </w:r>
    </w:p>
    <w:p>
      <w:r>
        <w:t xml:space="preserve">(d) Clarithromycin induces rapid metabolism of protease inhibitors</w:t>
      </w:r>
    </w:p>
    <w:p>
      <w:r>
        <w:t xml:space="preserve">Answer: a</w:t>
      </w:r>
    </w:p>
    <w:p>
      <w:r>
        <w:t xml:space="preserve">Solution: Both lopinavir/ritonavir and clarithromycin are CYP3A4 substrates and inhibitors, resulting in mutual inhibition and increased levels of both drugs. This increases risk of protease inhibitor toxicity. Azithromycin is preferred over clarithromycin for MAC prophylaxis in patients on protease inhibitors. This is a HIGH-YIELD drug interaction question.</w:t>
      </w:r>
    </w:p>
    <w:p>
      <w:r>
        <w:t xml:space="preserve">Positive Marks: 1</w:t>
      </w:r>
    </w:p>
    <w:p>
      <w:r>
        <w:t xml:space="preserve">Negative Marks: 0.33</w:t>
      </w:r>
    </w:p>
    <w:p/>
    <w:p>
      <w:r>
        <w:rPr>
          <w:b/>
        </w:rPr>
        <w:t xml:space="preserve">Question: Which integrase strand transfer inhibitor (INSTI) has the fastest viral suppression and is increasingly used as first-line therapy?</w:t>
      </w:r>
    </w:p>
    <w:p>
      <w:r>
        <w:t xml:space="preserve">(a) Dolutegravir (DTG)</w:t>
      </w:r>
    </w:p>
    <w:p>
      <w:r>
        <w:t xml:space="preserve">(b) Raltegravir (RAL)</w:t>
      </w:r>
    </w:p>
    <w:p>
      <w:r>
        <w:t xml:space="preserve">(c) Elvitegravir (EVG)</w:t>
      </w:r>
    </w:p>
    <w:p>
      <w:r>
        <w:t xml:space="preserve">(d) Bictegravir (BIC)</w:t>
      </w:r>
    </w:p>
    <w:p>
      <w:r>
        <w:t xml:space="preserve">Answer: a</w:t>
      </w:r>
    </w:p>
    <w:p>
      <w:r>
        <w:t xml:space="preserve">Solution: Dolutegravir achieves faster viral suppression than raltegravir and is now preferred as first-line INSTI due to superior barrier to resistance and once-daily dosing. Raltegravir requires twice-daily dosing and has a lower barrier to resistance. Elvitegravir and bictegravir are alternatives but DTG is the current standard. DTG's rapid action makes it valuable in resource-limited settings.</w:t>
      </w:r>
    </w:p>
    <w:p>
      <w:r>
        <w:t xml:space="preserve">Positive Marks: 1</w:t>
      </w:r>
    </w:p>
    <w:p>
      <w:r>
        <w:t xml:space="preserve">Negative Marks: 0.33</w:t>
      </w:r>
    </w:p>
    <w:p/>
    <w:p>
      <w:r>
        <w:rPr>
          <w:b/>
        </w:rPr>
        <w:t xml:space="preserve">Question: A patient develops severe mitochondrial toxicity with lactic acidosis after prolonged use of which NRTI?</w:t>
      </w:r>
    </w:p>
    <w:p>
      <w:r>
        <w:t xml:space="preserve">(a) Didanosine (ddI) or stavudine (d4T)</w:t>
      </w:r>
    </w:p>
    <w:p>
      <w:r>
        <w:t xml:space="preserve">(b) Zidovudine (AZT)</w:t>
      </w:r>
    </w:p>
    <w:p>
      <w:r>
        <w:t xml:space="preserve">(c) Lamivudine (3TC)</w:t>
      </w:r>
    </w:p>
    <w:p>
      <w:r>
        <w:t xml:space="preserve">(d) Abacavir (ABC)</w:t>
      </w:r>
    </w:p>
    <w:p>
      <w:r>
        <w:t xml:space="preserve">Answer: a</w:t>
      </w:r>
    </w:p>
    <w:p>
      <w:r>
        <w:t xml:space="preserve">Solution: Didanosine and stavudine are notorious for mitochondrial toxicity causing lactic acidosis, pancreatitis, and neuropathy, leading to their discontinuation in most settings. AZT causes bone marrow suppression, not lactic acidosis. Lamivudine and abacavir are better tolerated. Lactic acidosis from NRTIs is a medical emergency requiring immediate discontinuation. Remember the 'bad' NRTIs: d4T and ddI are phased out.</w:t>
      </w:r>
    </w:p>
    <w:p>
      <w:r>
        <w:t xml:space="preserve">Positive Marks: 1</w:t>
      </w:r>
    </w:p>
    <w:p>
      <w:r>
        <w:t xml:space="preserve">Negative Marks: 0.33</w:t>
      </w:r>
    </w:p>
    <w:p/>
    <w:p>
      <w:r>
        <w:rPr>
          <w:b/>
        </w:rPr>
        <w:t xml:space="preserve">Question: Which antiviral drug is used for cytomegalovirus (CMV) retinitis in immunocompromised patients and acts by inhibiting viral DNA polymerase?</w:t>
      </w:r>
    </w:p>
    <w:p>
      <w:r>
        <w:t xml:space="preserve">(a) Ganciclovir or foscarnet</w:t>
      </w:r>
    </w:p>
    <w:p>
      <w:r>
        <w:t xml:space="preserve">(b) Acyclovir</w:t>
      </w:r>
    </w:p>
    <w:p>
      <w:r>
        <w:t xml:space="preserve">(c) Ribavirin</w:t>
      </w:r>
    </w:p>
    <w:p>
      <w:r>
        <w:t xml:space="preserve">(d) Amantadine</w:t>
      </w:r>
    </w:p>
    <w:p>
      <w:r>
        <w:t xml:space="preserve">Answer: a</w:t>
      </w:r>
    </w:p>
    <w:p>
      <w:r>
        <w:t xml:space="preserve">Solution: Ganciclovir is a guanosine analogue that requires phosphorylation by viral kinase and then inhibits CMV DNA polymerase. Foscarnet is a pyrophosphate analog that directly inhibits DNA polymerase without requiring phosphorylation. Both are used for CMV disease. Acyclovir has limited activity against CMV. Ribavirin is for respiratory viruses. Amantadine is for influenza. CMV retinitis requires aggressive treatment.</w:t>
      </w:r>
    </w:p>
    <w:p>
      <w:r>
        <w:t xml:space="preserve">Positive Marks: 1</w:t>
      </w:r>
    </w:p>
    <w:p>
      <w:r>
        <w:t xml:space="preserve">Negative Marks: 0.33</w:t>
      </w:r>
    </w:p>
    <w:p/>
    <w:p>
      <w:r>
        <w:rPr>
          <w:b/>
        </w:rPr>
        <w:t xml:space="preserve">Question: Abacavir (ABC) hypersensitivity reaction is strongly associated with which HLA genotype?</w:t>
      </w:r>
    </w:p>
    <w:p>
      <w:r>
        <w:t xml:space="preserve">(a) HLA-B*5701</w:t>
      </w:r>
    </w:p>
    <w:p>
      <w:r>
        <w:t xml:space="preserve">(b) HLA-A*3101</w:t>
      </w:r>
    </w:p>
    <w:p>
      <w:r>
        <w:t xml:space="preserve">(c) HLA-DR3</w:t>
      </w:r>
    </w:p>
    <w:p>
      <w:r>
        <w:t xml:space="preserve">(d) HLA-DQ2</w:t>
      </w:r>
    </w:p>
    <w:p>
      <w:r>
        <w:t xml:space="preserve">Answer: a</w:t>
      </w:r>
    </w:p>
    <w:p>
      <w:r>
        <w:t xml:space="preserve">Solution: Abacavir hypersensitivity is a severe, potentially fatal reaction strongly associated with HLA-B*5701 positivity occurring in 5-8% of carriers. Genetic testing for HLA-B*5701 is now standard before initiating ABC therapy. This is one of the first pharmacogenomic-guided prescribing examples in HIV treatment. Hypersensitivity presents with fever, rash, gastrointestinal, and respiratory symptoms.</w:t>
      </w:r>
    </w:p>
    <w:p>
      <w:r>
        <w:t xml:space="preserve">Positive Marks: 1</w:t>
      </w:r>
    </w:p>
    <w:p>
      <w:r>
        <w:t xml:space="preserve">Negative Marks: 0.33</w:t>
      </w:r>
    </w:p>
    <w:p/>
    <w:p>
      <w:r>
        <w:rPr>
          <w:b/>
        </w:rPr>
        <w:t xml:space="preserve">Question: An HIV patient on antiretroviral therapy develops severe peripheral neuropathy and pancreatitis. Which medication should be urgently discontinued?</w:t>
      </w:r>
    </w:p>
    <w:p>
      <w:r>
        <w:t xml:space="preserve">(a) Didanosine (ddI) and stavudine (d4T)</w:t>
      </w:r>
    </w:p>
    <w:p>
      <w:r>
        <w:t xml:space="preserve">(b) Zidovudine (AZT)</w:t>
      </w:r>
    </w:p>
    <w:p>
      <w:r>
        <w:t xml:space="preserve">(c) Tenofovir (TDF)</w:t>
      </w:r>
    </w:p>
    <w:p>
      <w:r>
        <w:t xml:space="preserve">(d) Lamivudine (3TC)</w:t>
      </w:r>
    </w:p>
    <w:p>
      <w:r>
        <w:t xml:space="preserve">Answer: a</w:t>
      </w:r>
    </w:p>
    <w:p>
      <w:r>
        <w:t xml:space="preserve">Solution: Didanosine and stavudine are the primary culprits for mitochondrial toxicity manifesting as neuropathy and pancreatitis. Urgent discontinuation is necessary to prevent progression. AZT causes bone marrow suppression. TDF causes renal toxicity. Lamivudine is well-tolerated. The combination of neuropathy + pancreatitis is pathognomonic for ddI/d4T toxicity and mandates immediate stop.</w:t>
      </w:r>
    </w:p>
    <w:p>
      <w:r>
        <w:t xml:space="preserve">Positive Marks: 1</w:t>
      </w:r>
    </w:p>
    <w:p>
      <w:r>
        <w:t xml:space="preserve">Negative Marks: 0.33</w:t>
      </w:r>
    </w:p>
    <w:p/>
    <w:p>
      <w:r>
        <w:rPr>
          <w:b/>
        </w:rPr>
        <w:t xml:space="preserve">Question: Oseltamivir (Tamiflu), a neuraminidase inhibitor, must be administered within how many hours of influenza symptom onset to be most effective?</w:t>
      </w:r>
    </w:p>
    <w:p>
      <w:r>
        <w:t xml:space="preserve">(a) 48 hours</w:t>
      </w:r>
    </w:p>
    <w:p>
      <w:r>
        <w:t xml:space="preserve">(b) 72 hours</w:t>
      </w:r>
    </w:p>
    <w:p>
      <w:r>
        <w:t xml:space="preserve">(c) 24 hours</w:t>
      </w:r>
    </w:p>
    <w:p>
      <w:r>
        <w:t xml:space="preserve">(d) 36 hours</w:t>
      </w:r>
    </w:p>
    <w:p>
      <w:r>
        <w:t xml:space="preserve">Answer: a</w:t>
      </w:r>
    </w:p>
    <w:p>
      <w:r>
        <w:t xml:space="preserve">Solution: Oseltamivir is most effective when started within 48 hours of symptom onset, reducing illness duration by approximately 1 day and complications risk. It inhibits neuraminidase, preventing viral release from infected cells. After 48 hours, benefit is minimal though may reduce complications. Early treatment is KEY in severe or hospitalized patients. This 48-hour window is high-yield for exams.</w:t>
      </w:r>
    </w:p>
    <w:p>
      <w:r>
        <w:t xml:space="preserve">Positive Marks: 1</w:t>
      </w:r>
    </w:p>
    <w:p>
      <w:r>
        <w:t xml:space="preserve">Negative Marks: 0.33</w:t>
      </w:r>
    </w:p>
    <w:p/>
    <w:p>
      <w:r>
        <w:rPr>
          <w:b/>
        </w:rPr>
        <w:t xml:space="preserve">Question: Which integrase inhibitor can be used in patients with resistance to other INSTIs due to unique resistance profile and mechanism?</w:t>
      </w:r>
    </w:p>
    <w:p>
      <w:r>
        <w:t xml:space="preserve">(a) Bictegravir (BIC)</w:t>
      </w:r>
    </w:p>
    <w:p>
      <w:r>
        <w:t xml:space="preserve">(b) Dolutegravir (DTG)</w:t>
      </w:r>
    </w:p>
    <w:p>
      <w:r>
        <w:t xml:space="preserve">(c) Raltegravir (RAL)</w:t>
      </w:r>
    </w:p>
    <w:p>
      <w:r>
        <w:t xml:space="preserve">(d) Elvitegravir (EVG)</w:t>
      </w:r>
    </w:p>
    <w:p>
      <w:r>
        <w:t xml:space="preserve">Answer: a</w:t>
      </w:r>
    </w:p>
    <w:p>
      <w:r>
        <w:t xml:space="preserve">Solution: Bictegravir has a distinct genetic barrier to resistance and retains activity against some raltegravir-resistant viruses. However, cross-resistance among INSTIs is common, making treatment failure with one INSTI problematic for switching to another. DTG has superior barrier to resistance compared to RAL, but bictegravir's newer formulation offers alternative profiles. This addresses resistance management complexity.</w:t>
      </w:r>
    </w:p>
    <w:p>
      <w:r>
        <w:t xml:space="preserve">Positive Marks: 1</w:t>
      </w:r>
    </w:p>
    <w:p>
      <w:r>
        <w:t xml:space="preserve">Negative Marks: 0.33</w:t>
      </w:r>
    </w:p>
    <w:p/>
    <w:p>
      <w:r>
        <w:rPr>
          <w:b/>
        </w:rPr>
        <w:t xml:space="preserve">Question: A patient on antiretroviral therapy develops lipohypertrophy (fat accumulation in dorso-cervical and abdominal regions). Which class of older antiretrovirals is primarily responsible?</w:t>
      </w:r>
    </w:p>
    <w:p>
      <w:r>
        <w:t xml:space="preserve">(a) Protease inhibitors (PIs), particularly older formulations</w:t>
      </w:r>
    </w:p>
    <w:p>
      <w:r>
        <w:t xml:space="preserve">(b) Nucleoside reverse transcriptase inhibitors (NRTIs) only</w:t>
      </w:r>
    </w:p>
    <w:p>
      <w:r>
        <w:t xml:space="preserve">(c) Non-nucleoside reverse transcriptase inhibitors (NNRTIs) only</w:t>
      </w:r>
    </w:p>
    <w:p>
      <w:r>
        <w:t xml:space="preserve">(d) Integrase strand transfer inhibitors (INSTIs)</w:t>
      </w:r>
    </w:p>
    <w:p>
      <w:r>
        <w:t xml:space="preserve">Answer: a</w:t>
      </w:r>
    </w:p>
    <w:p>
      <w:r>
        <w:t xml:space="preserve">Solution: Protease inhibitors, especially older formulations like ritonavir-boosted indinavir and lopinavir/ritonavir, are classically associated with lipohypertrophy and metabolic complications. Stavudine (NRTI) contributes but PIs are primary. NNRTIs and INSTIs have minimal lipohypertrophy risk. Modern PI formulations and regimen switching improve this. Lipodystrophy (both lipoatrophy and lipohypertrophy) is an important antiretroviral toxicity.</w:t>
      </w:r>
    </w:p>
    <w:p>
      <w:r>
        <w:t xml:space="preserve">Positive Marks: 1</w:t>
      </w:r>
    </w:p>
    <w:p>
      <w:r>
        <w:t xml:space="preserve">Negative Marks: 0.33</w:t>
      </w:r>
    </w:p>
    <w:p/>
    <w:p>
      <w:r>
        <w:rPr>
          <w:b/>
        </w:rPr>
        <w:t xml:space="preserve">Question: Which statement about resistance development in antiretroviral therapy is accurate?</w:t>
      </w:r>
    </w:p>
    <w:p>
      <w:r>
        <w:t xml:space="preserve">(a) Resistance emerges rapidly with monotherapy; combination therapy (at least 3 drugs) reduces resistance by suppressing viral replication</w:t>
      </w:r>
    </w:p>
    <w:p>
      <w:r>
        <w:t xml:space="preserve">(b) Resistance develops only with protease inhibitors, not with other antiretrovirals</w:t>
      </w:r>
    </w:p>
    <w:p>
      <w:r>
        <w:t xml:space="preserve">(c) Once resistance develops, it is irreversible and patient has failed all future therapies</w:t>
      </w:r>
    </w:p>
    <w:p>
      <w:r>
        <w:t xml:space="preserve">(d) Viral resistance is independent of medication adherence</w:t>
      </w:r>
    </w:p>
    <w:p>
      <w:r>
        <w:t xml:space="preserve">Answer: a</w:t>
      </w:r>
    </w:p>
    <w:p>
      <w:r>
        <w:t xml:space="preserve">Solution: HIV resistance develops within weeks with monotherapy due to viral replication and mutation. Combination antiretroviral therapy (cART) with ≥3 drugs achieves potent suppression preventing resistance. This is why HAART (Highly Active Antiretroviral Therapy) using combination regimens is standard. Non-adherence is THE major driver of resistance. Resistance is not irreversible; newer agents address resistant strains. This principle underpins all modern HIV treatment.</w:t>
      </w:r>
    </w:p>
    <w:p>
      <w:r>
        <w:t xml:space="preserve">Positive Marks: 1</w:t>
      </w:r>
    </w:p>
    <w:p>
      <w:r>
        <w:t xml:space="preserve">Negative Marks: 0.33</w:t>
      </w:r>
    </w:p>
    <w:p/>
    <w:p>
      <w:r>
        <w:rPr>
          <w:b/>
        </w:rPr>
        <w:t xml:space="preserve">Question: An HIV-positive patient develops fever, jaundice, and hepatomegaly with elevated liver enzymes within 3 weeks of starting antiretroviral therapy with nevirapine. Which patient factor most significantly increases the risk of this serious adverse effect?</w:t>
      </w:r>
    </w:p>
    <w:p>
      <w:r>
        <w:t xml:space="preserve">(a) High CD4+ cell count (&gt;250 cells/μL) at baseline</w:t>
      </w:r>
    </w:p>
    <w:p>
      <w:r>
        <w:t xml:space="preserve">(b) Concurrent use of other hepatotoxic drugs</w:t>
      </w:r>
    </w:p>
    <w:p>
      <w:r>
        <w:t xml:space="preserve">(c) History of previous opportunistic infections</w:t>
      </w:r>
    </w:p>
    <w:p>
      <w:r>
        <w:t xml:space="preserve">(d) Advanced age (&gt;50 years) at time of therapy initiation</w:t>
      </w:r>
    </w:p>
    <w:p>
      <w:r>
        <w:t xml:space="preserve">Answer: a</w:t>
      </w:r>
    </w:p>
    <w:p>
      <w:r>
        <w:t xml:space="preserve">Solution: Nevirapine is an NNRTI that causes hepatotoxicity in 1-3% of patients overall, but risk increases paradoxically to 11% in patients with baseline CD4+ counts &gt;250 cells/μL (women) or &gt;400 cells/μL (men), typically within the first 6 weeks. This counterintuitive increased risk in better-immune patients may relate to stronger immune-mediated response. Option b is nonspecific, as drug interactions don't uniquely explain nevirapine hepatotoxicity. Options c (prior opportunistic infections) and d (advanced age) are not established risk factors for this particular NNRTI-related adverse effect. Memory aid: "High CD4 = High nevirapine risk" - this paradoxical relationship guides NNRTI selection and baseline hepatic monitoring in clinical practice.</w:t>
      </w:r>
    </w:p>
    <w:p>
      <w:r>
        <w:t xml:space="preserve">Positive Marks: 1</w:t>
      </w:r>
    </w:p>
    <w:p>
      <w:r>
        <w:t xml:space="preserve">Negative Marks: 0.33</w:t>
      </w:r>
    </w:p>
    <w:sectPr>
      <w:pgSz w:w="11906" w:h="16838"/>
      <w:pgMar w:top="1134" w:right="1134" w:bottom="1134" w:left="1134"/>
    </w:sectPr>
  </w:body>
</w:document>
</file>