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Tetracyclines act by inhibiting bacterial protein synthesis by binding to which ribosomal subunit?</w:t>
      </w:r>
    </w:p>
    <w:p>
      <w:r>
        <w:t xml:space="preserve">(a) 30S</w:t>
      </w:r>
    </w:p>
    <w:p>
      <w:r>
        <w:t xml:space="preserve">(b) 40S</w:t>
      </w:r>
    </w:p>
    <w:p>
      <w:r>
        <w:t xml:space="preserve">(c) 50S</w:t>
      </w:r>
    </w:p>
    <w:p>
      <w:r>
        <w:t xml:space="preserve">(d) 60S</w:t>
      </w:r>
    </w:p>
    <w:p>
      <w:r>
        <w:t xml:space="preserve">Answer: a</w:t>
      </w:r>
    </w:p>
    <w:p>
      <w:r>
        <w:t xml:space="preserve">Solution: Tetracyclines bind to the 30S ribosomal subunit in bacteria (prokaryotes), inhibiting protein synthesis. The 40S and 60S subunits are eukaryotic; the 50S subunit is where chloramphenicol binds. This selective prokaryotic targeting confers antibacterial activity. Memory aid: Tetracycline = 30S; Chloramphenicol = 50S; this distinction is fundamental to their mechanisms.</w:t>
      </w:r>
    </w:p>
    <w:p>
      <w:r>
        <w:t xml:space="preserve">Positive Marks: 1</w:t>
      </w:r>
    </w:p>
    <w:p>
      <w:r>
        <w:t xml:space="preserve">Negative Marks: 0.33</w:t>
      </w:r>
    </w:p>
    <w:p/>
    <w:p>
      <w:r>
        <w:rPr>
          <w:b/>
        </w:rPr>
        <w:t xml:space="preserve">Question: Which of the following is NOT a first-line tetracycline used in modern clinical practice?</w:t>
      </w:r>
    </w:p>
    <w:p>
      <w:r>
        <w:t xml:space="preserve">(a) Doxycycline</w:t>
      </w:r>
    </w:p>
    <w:p>
      <w:r>
        <w:t xml:space="preserve">(b) Minocycline</w:t>
      </w:r>
    </w:p>
    <w:p>
      <w:r>
        <w:t xml:space="preserve">(c) Tetracycline</w:t>
      </w:r>
    </w:p>
    <w:p>
      <w:r>
        <w:t xml:space="preserve">(d) Aureomycin</w:t>
      </w:r>
    </w:p>
    <w:p>
      <w:r>
        <w:t xml:space="preserve">Answer: d</w:t>
      </w:r>
    </w:p>
    <w:p>
      <w:r>
        <w:t xml:space="preserve">Solution: Aureomycin (chlortetracycline) was the first tetracycline discovered but is rarely used today. Doxycycline, minocycline, and tetracycline remain clinically relevant. Aureomycin has been superseded by newer tetracyclines with superior bioavailability and more predictable pharmacokinetics. This historical knowledge reflects the evolution of antimicrobial therapy and drug selection preferences.</w:t>
      </w:r>
    </w:p>
    <w:p>
      <w:r>
        <w:t xml:space="preserve">Positive Marks: 1</w:t>
      </w:r>
    </w:p>
    <w:p>
      <w:r>
        <w:t xml:space="preserve">Negative Marks: 0.33</w:t>
      </w:r>
    </w:p>
    <w:p/>
    <w:p>
      <w:r>
        <w:rPr>
          <w:b/>
        </w:rPr>
        <w:t xml:space="preserve">Question: Tetracyclines are most commonly used as first-line therapy for which infection?</w:t>
      </w:r>
    </w:p>
    <w:p>
      <w:r>
        <w:t xml:space="preserve">(a) Mycoplasma pneumoniae</w:t>
      </w:r>
    </w:p>
    <w:p>
      <w:r>
        <w:t xml:space="preserve">(b) Staphylococcus aureus</w:t>
      </w:r>
    </w:p>
    <w:p>
      <w:r>
        <w:t xml:space="preserve">(c) Streptococcus pyogenes</w:t>
      </w:r>
    </w:p>
    <w:p>
      <w:r>
        <w:t xml:space="preserve">(d) Clostridium difficile</w:t>
      </w:r>
    </w:p>
    <w:p>
      <w:r>
        <w:t xml:space="preserve">Answer: a</w:t>
      </w:r>
    </w:p>
    <w:p>
      <w:r>
        <w:t xml:space="preserve">Solution: Tetracyclines are drugs of choice for Mycoplasma pneumoniae (atypical pneumonia) due to excellent intracellular penetration. S. aureus and S. pyogenes respond better to beta-lactams; C. difficile requires vancomycin/fidaxomicin. Tetracyclines' effectiveness against intracellular and atypical organisms (Mycoplasma, Chlamydia, Rickettsiae) makes them irreplaceable for these pathogens. Clinical memory: 'Tiny atypical organisms = tetracyclines.'</w:t>
      </w:r>
    </w:p>
    <w:p>
      <w:r>
        <w:t xml:space="preserve">Positive Marks: 1</w:t>
      </w:r>
    </w:p>
    <w:p>
      <w:r>
        <w:t xml:space="preserve">Negative Marks: 0.33</w:t>
      </w:r>
    </w:p>
    <w:p/>
    <w:p>
      <w:r>
        <w:rPr>
          <w:b/>
        </w:rPr>
        <w:t xml:space="preserve">Question: Chloramphenicol inhibits bacterial protein synthesis by binding to which ribosomal subunit?</w:t>
      </w:r>
    </w:p>
    <w:p>
      <w:r>
        <w:t xml:space="preserve">(a) 30S</w:t>
      </w:r>
    </w:p>
    <w:p>
      <w:r>
        <w:t xml:space="preserve">(b) 40S</w:t>
      </w:r>
    </w:p>
    <w:p>
      <w:r>
        <w:t xml:space="preserve">(c) 50S</w:t>
      </w:r>
    </w:p>
    <w:p>
      <w:r>
        <w:t xml:space="preserve">(d) 70S</w:t>
      </w:r>
    </w:p>
    <w:p>
      <w:r>
        <w:t xml:space="preserve">Answer: c</w:t>
      </w:r>
    </w:p>
    <w:p>
      <w:r>
        <w:t xml:space="preserve">Solution: Chloramphenicol binds the 50S ribosomal subunit, inhibiting peptidyl transferase and blocking peptide bond formation. The 30S is where tetracyclines bind; 40S is eukaryotic cytoplasmic; 70S is the complete bacterial ribosome (30S + 50S combined). This mechanism makes chloramphenicol bacteriostatic. Quick recall: Chloramphenicol = 50S subunit.</w:t>
      </w:r>
    </w:p>
    <w:p>
      <w:r>
        <w:t xml:space="preserve">Positive Marks: 1</w:t>
      </w:r>
    </w:p>
    <w:p>
      <w:r>
        <w:t xml:space="preserve">Negative Marks: 0.33</w:t>
      </w:r>
    </w:p>
    <w:p/>
    <w:p>
      <w:r>
        <w:rPr>
          <w:b/>
        </w:rPr>
        <w:t xml:space="preserve">Question: Compared to tetracycline, doxycycline has which significant pharmacokinetic advantage?</w:t>
      </w:r>
    </w:p>
    <w:p>
      <w:r>
        <w:t xml:space="preserve">(a) Better blood-brain barrier penetration</w:t>
      </w:r>
    </w:p>
    <w:p>
      <w:r>
        <w:t xml:space="preserve">(b) Can be safely taken with dairy products and antacids</w:t>
      </w:r>
    </w:p>
    <w:p>
      <w:r>
        <w:t xml:space="preserve">(c) Once-daily dosing with minimal food interaction</w:t>
      </w:r>
    </w:p>
    <w:p>
      <w:r>
        <w:t xml:space="preserve">(d) Superior activity against anaerobic bacteria</w:t>
      </w:r>
    </w:p>
    <w:p>
      <w:r>
        <w:t xml:space="preserve">Answer: c</w:t>
      </w:r>
    </w:p>
    <w:p>
      <w:r>
        <w:t xml:space="preserve">Solution: Doxycycline has superior oral bioavailability (~95%) with minimal food and metal ion interaction, allowing once-daily convenient dosing. Tetracycline has poor variable absorption (60-80%) and significant chelation with dairy/metals, requiring empty stomach administration. Chloramphenicol, not doxycycline, achieves better CNS penetration. This bioavailability advantage makes doxycycline the preferred tetracycline in clinical practice for most indications.</w:t>
      </w:r>
    </w:p>
    <w:p>
      <w:r>
        <w:t xml:space="preserve">Positive Marks: 1</w:t>
      </w:r>
    </w:p>
    <w:p>
      <w:r>
        <w:t xml:space="preserve">Negative Marks: 0.33</w:t>
      </w:r>
    </w:p>
    <w:p/>
    <w:p>
      <w:r>
        <w:rPr>
          <w:b/>
        </w:rPr>
        <w:t xml:space="preserve">Question: A patient taking tetracycline is counseled to avoid milk, antacids, and iron supplements. This interaction occurs because tetracyclines:</w:t>
      </w:r>
    </w:p>
    <w:p>
      <w:r>
        <w:t xml:space="preserve">(a) Form insoluble chelation complexes with divalent cations</w:t>
      </w:r>
    </w:p>
    <w:p>
      <w:r>
        <w:t xml:space="preserve">(b) Inhibit gastric acid secretion and reduce absorption</w:t>
      </w:r>
    </w:p>
    <w:p>
      <w:r>
        <w:t xml:space="preserve">(c) Impair bacterial synthesis of vitamin K</w:t>
      </w:r>
    </w:p>
    <w:p>
      <w:r>
        <w:t xml:space="preserve">(d) Competitively inhibit renal tubular reabsorption</w:t>
      </w:r>
    </w:p>
    <w:p>
      <w:r>
        <w:t xml:space="preserve">Answer: a</w:t>
      </w:r>
    </w:p>
    <w:p>
      <w:r>
        <w:t xml:space="preserve">Solution: Tetracyclines chelate divalent cations (Ca²⁺, Mg²⁺, Fe²⁺, Al³⁺), forming insoluble complexes that reduce drug absorption by 30-50%. Milk contains calcium; antacids contain magnesium/aluminum; iron supplements provide Fe²⁺. This is a critical interaction reducing antibiotic efficacy. Tetracyclines don't inhibit gastric acid, vitamin K synthesis, or renal reabsorption. Memory aid: 'Chelation Coalition'—tetracycline + metal ions = ineffective complex formation.</w:t>
      </w:r>
    </w:p>
    <w:p>
      <w:r>
        <w:t xml:space="preserve">Positive Marks: 1</w:t>
      </w:r>
    </w:p>
    <w:p>
      <w:r>
        <w:t xml:space="preserve">Negative Marks: 0.33</w:t>
      </w:r>
    </w:p>
    <w:p/>
    <w:p>
      <w:r>
        <w:rPr>
          <w:b/>
        </w:rPr>
        <w:t xml:space="preserve">Question: Minocycline, a second-generation tetracycline, is uniquely associated with causing which type of pigmentation?</w:t>
      </w:r>
    </w:p>
    <w:p>
      <w:r>
        <w:t xml:space="preserve">(a) Brown/yellow discoloration of teeth in children</w:t>
      </w:r>
    </w:p>
    <w:p>
      <w:r>
        <w:t xml:space="preserve">(b) Blue-gray pigmentation of skin, sclera, and oral mucosa</w:t>
      </w:r>
    </w:p>
    <w:p>
      <w:r>
        <w:t xml:space="preserve">(c) Orange discoloration of nails and nail beds</w:t>
      </w:r>
    </w:p>
    <w:p>
      <w:r>
        <w:t xml:space="preserve">(d) Yellow staining of gums and palate</w:t>
      </w:r>
    </w:p>
    <w:p>
      <w:r>
        <w:t xml:space="preserve">Answer: b</w:t>
      </w:r>
    </w:p>
    <w:p>
      <w:r>
        <w:t xml:space="preserve">Solution: Minocycline uniquely causes blue-gray to blue-black pigmentation of skin (especially sun-exposed areas), sclera, and oral mucosa—an idiosyncratic effect distinguishing it from other tetracyclines. Tetracycline causes teeth discoloration in children &lt;8 years via calcium chelation in enamel. The minocycline pigmentation is a hallmark adverse effect reflecting its high tissue accumulation and is a key differentiating feature tested in examinations.</w:t>
      </w:r>
    </w:p>
    <w:p>
      <w:r>
        <w:t xml:space="preserve">Positive Marks: 1</w:t>
      </w:r>
    </w:p>
    <w:p>
      <w:r>
        <w:t xml:space="preserve">Negative Marks: 0.33</w:t>
      </w:r>
    </w:p>
    <w:p/>
    <w:p>
      <w:r>
        <w:rPr>
          <w:b/>
        </w:rPr>
        <w:t xml:space="preserve">Question: Chloramphenicol achieves excellent penetration into which body compartment, making it valuable for treating bacterial meningitis?</w:t>
      </w:r>
    </w:p>
    <w:p>
      <w:r>
        <w:t xml:space="preserve">(a) Pleural fluid</w:t>
      </w:r>
    </w:p>
    <w:p>
      <w:r>
        <w:t xml:space="preserve">(b) Cerebrospinal fluid</w:t>
      </w:r>
    </w:p>
    <w:p>
      <w:r>
        <w:t xml:space="preserve">(c) Peritoneal fluid</w:t>
      </w:r>
    </w:p>
    <w:p>
      <w:r>
        <w:t xml:space="preserve">(d) Synovial fluid</w:t>
      </w:r>
    </w:p>
    <w:p>
      <w:r>
        <w:t xml:space="preserve">Answer: b</w:t>
      </w:r>
    </w:p>
    <w:p>
      <w:r>
        <w:t xml:space="preserve">Solution: Chloramphenicol achieves high CSF concentrations (50-90% of serum levels) even without meningeal inflammation, providing excellent CNS penetration superior to many other antibiotics. This property made it historically valuable for meningitis caused by resistant organisms (though less commonly used today due to hematologic toxicity). Penetration into pleural, peritoneal, and synovial compartments is adequate but not exceptional and doesn't justify chloramphenicol use.</w:t>
      </w:r>
    </w:p>
    <w:p>
      <w:r>
        <w:t xml:space="preserve">Positive Marks: 1</w:t>
      </w:r>
    </w:p>
    <w:p>
      <w:r>
        <w:t xml:space="preserve">Negative Marks: 0.33</w:t>
      </w:r>
    </w:p>
    <w:p/>
    <w:p>
      <w:r>
        <w:rPr>
          <w:b/>
        </w:rPr>
        <w:t xml:space="preserve">Question: Which tetracycline is most frequently associated with clinically significant photosensitivity reactions?</w:t>
      </w:r>
    </w:p>
    <w:p>
      <w:r>
        <w:t xml:space="preserve">(a) Doxycycline</w:t>
      </w:r>
    </w:p>
    <w:p>
      <w:r>
        <w:t xml:space="preserve">(b) Tetracycline</w:t>
      </w:r>
    </w:p>
    <w:p>
      <w:r>
        <w:t xml:space="preserve">(c) Minocycline</w:t>
      </w:r>
    </w:p>
    <w:p>
      <w:r>
        <w:t xml:space="preserve">(d) Demeclocycline</w:t>
      </w:r>
    </w:p>
    <w:p>
      <w:r>
        <w:t xml:space="preserve">Answer: a</w:t>
      </w:r>
    </w:p>
    <w:p>
      <w:r>
        <w:t xml:space="preserve">Solution: Doxycycline causes photosensitivity in approximately 3% of patients, manifesting as exaggerated sunburn reactions on sun exposure. Tetracycline and minocycline cause phototoxicity less frequently; demeclocycline is rarely used. Patients on doxycycline therapy, particularly for acne or malaria prophylaxis, require counseling on UV protection (broad-spectrum sunscreen, protective clothing). This adverse effect significantly impacts compliance in long-term therapy and represents an important patient safety consideration.</w:t>
      </w:r>
    </w:p>
    <w:p>
      <w:r>
        <w:t xml:space="preserve">Positive Marks: 1</w:t>
      </w:r>
    </w:p>
    <w:p>
      <w:r>
        <w:t xml:space="preserve">Negative Marks: 0.33</w:t>
      </w:r>
    </w:p>
    <w:p/>
    <w:p>
      <w:r>
        <w:rPr>
          <w:b/>
        </w:rPr>
        <w:t xml:space="preserve">Question: Tetracyclines are contraindicated in pregnant women primarily because they:</w:t>
      </w:r>
    </w:p>
    <w:p>
      <w:r>
        <w:t xml:space="preserve">(a) Directly inhibit fetal bone osteoblast development</w:t>
      </w:r>
    </w:p>
    <w:p>
      <w:r>
        <w:t xml:space="preserve">(b) Cause enamel hypoplasia exclusively in deciduous teeth</w:t>
      </w:r>
    </w:p>
    <w:p>
      <w:r>
        <w:t xml:space="preserve">(c) Cross the placenta and chelate fetal calcium, affecting skeletal and dental development</w:t>
      </w:r>
    </w:p>
    <w:p>
      <w:r>
        <w:t xml:space="preserve">(d) Induce maternal hepatic enzymes, altering fetal drug metabolism</w:t>
      </w:r>
    </w:p>
    <w:p>
      <w:r>
        <w:t xml:space="preserve">Answer: c</w:t>
      </w:r>
    </w:p>
    <w:p>
      <w:r>
        <w:t xml:space="preserve">Solution: Tetracyclines cross the placenta and chelate calcium in fetal bone and enamel-forming tissues, causing permanent yellow-brown discoloration and hypoplasia of permanent teeth, plus interference with skeletal development. Both deciduous and permanent teeth are affected (depending on timing). Tetracyclines are FDA Category D, absolutely contraindicated especially in 2nd and 3rd trimesters. The '8-year rule' applies: avoid tetracyclines in children &lt;8 years and all pregnant women. This teratogenic effect is a classic examination question.</w:t>
      </w:r>
    </w:p>
    <w:p>
      <w:r>
        <w:t xml:space="preserve">Positive Marks: 1</w:t>
      </w:r>
    </w:p>
    <w:p>
      <w:r>
        <w:t xml:space="preserve">Negative Marks: 0.33</w:t>
      </w:r>
    </w:p>
    <w:p/>
    <w:p>
      <w:r>
        <w:rPr>
          <w:b/>
        </w:rPr>
        <w:t xml:space="preserve">Question: Antibiotic-associated pseudomembranous colitis caused by Clostridium difficile toxins can occur with administration of which antibiotic class(es)?</w:t>
      </w:r>
    </w:p>
    <w:p>
      <w:r>
        <w:t xml:space="preserve">(a) Quinolones only</w:t>
      </w:r>
    </w:p>
    <w:p>
      <w:r>
        <w:t xml:space="preserve">(b) Tetracyclines only</w:t>
      </w:r>
    </w:p>
    <w:p>
      <w:r>
        <w:t xml:space="preserve">(c) Beta-lactams and clindamycin only</w:t>
      </w:r>
    </w:p>
    <w:p>
      <w:r>
        <w:t xml:space="preserve">(d) Tetracyclines, macrolides, beta-lactams, clindamycin, and fluoroquinolones</w:t>
      </w:r>
    </w:p>
    <w:p>
      <w:r>
        <w:t xml:space="preserve">Answer: d</w:t>
      </w:r>
    </w:p>
    <w:p>
      <w:r>
        <w:t xml:space="preserve">Solution: C. difficile-associated diarrhea (CDAD)/pseudomembranous colitis can develop with any broad-spectrum antibiotic class by disrupting normal colonic microbiota, allowing C. difficile overgrowth. High-risk agents include clindamycin, cephalosporins, fluoroquinolones, but tetracyclines, macrolides, and beta-lactams also carry risk. Tetracyclines are less frequently implicated than clindamycin or fluoroquinolones but remain important risk factors. Patients require counseling on bloody diarrhea, fever, and abdominal pain as warning signs.</w:t>
      </w:r>
    </w:p>
    <w:p>
      <w:r>
        <w:t xml:space="preserve">Positive Marks: 1</w:t>
      </w:r>
    </w:p>
    <w:p>
      <w:r>
        <w:t xml:space="preserve">Negative Marks: 0.33</w:t>
      </w:r>
    </w:p>
    <w:p/>
    <w:p>
      <w:r>
        <w:rPr>
          <w:b/>
        </w:rPr>
        <w:t xml:space="preserve">Question: Chloramphenicol can cause two distinct types of bone marrow toxicity. Which type is dose-dependent and reversible upon drug cessation?</w:t>
      </w:r>
    </w:p>
    <w:p>
      <w:r>
        <w:t xml:space="preserve">(a) Idiosyncratic aplastic anemia</w:t>
      </w:r>
    </w:p>
    <w:p>
      <w:r>
        <w:t xml:space="preserve">(b) Dose-dependent reversible bone marrow suppression affecting all cell lines</w:t>
      </w:r>
    </w:p>
    <w:p>
      <w:r>
        <w:t xml:space="preserve">(c) Both types occur simultaneously in all patients</w:t>
      </w:r>
    </w:p>
    <w:p>
      <w:r>
        <w:t xml:space="preserve">(d) Only irreversible idiosyncratic aplastic anemia occurs</w:t>
      </w:r>
    </w:p>
    <w:p>
      <w:r>
        <w:t xml:space="preserve">Answer: b</w:t>
      </w:r>
    </w:p>
    <w:p>
      <w:r>
        <w:t xml:space="preserve">Solution: Chloramphenicol causes two distinct toxicities: (1) Dose-dependent reversible suppression (anemia, leukopenia, thrombocytopenia) occurring in 1-2% of patients—predictable, occurs during therapy, reversible upon cessation; (2) Idiosyncratic aplastic anemia (1 in 20,000-40,000)—unpredictable, irreversible, occurring weeks to months after therapy, poor prognosis. Understanding this distinction is critical: dose-dependent toxicity can be monitored with CBCs; idiosyncratic anemia mandates immediate discontinuation. This explains chloramphenicol's restricted modern use despite excellent spectrum.</w:t>
      </w:r>
    </w:p>
    <w:p>
      <w:r>
        <w:t xml:space="preserve">Positive Marks: 1</w:t>
      </w:r>
    </w:p>
    <w:p>
      <w:r>
        <w:t xml:space="preserve">Negative Marks: 0.33</w:t>
      </w:r>
    </w:p>
    <w:p/>
    <w:p>
      <w:r>
        <w:rPr>
          <w:b/>
        </w:rPr>
        <w:t xml:space="preserve">Question: Tetracycline-induced discoloration and hypoplasia of permanent teeth occurs primarily when the drug is administered during which developmental window?</w:t>
      </w:r>
    </w:p>
    <w:p>
      <w:r>
        <w:t xml:space="preserve">(a) Infancy (0-6 months)</w:t>
      </w:r>
    </w:p>
    <w:p>
      <w:r>
        <w:t xml:space="preserve">(b) Early childhood (6 months to 8 years)</w:t>
      </w:r>
    </w:p>
    <w:p>
      <w:r>
        <w:t xml:space="preserve">(c) Late childhood (8-12 years)</w:t>
      </w:r>
    </w:p>
    <w:p>
      <w:r>
        <w:t xml:space="preserve">(d) Adolescence (12-16 years)</w:t>
      </w:r>
    </w:p>
    <w:p>
      <w:r>
        <w:t xml:space="preserve">Answer: b</w:t>
      </w:r>
    </w:p>
    <w:p>
      <w:r>
        <w:t xml:space="preserve">Solution: Tetracyclines chelate calcium and cause permanent yellow-brown discoloration and enamel hypoplasia during the critical window of permanent tooth enamel formation (approximately 6 months to 8 years of age). This makes tetracyclines absolutely contraindicated in this age group. The '8-year cutoff' is fundamental in pediatric pharmacology. Deciduous teeth are affected at &lt;6 months; after age 8, enamel is fully formed and permanent staining does not occur. This explains pregnancy restrictions (potential fetal effects) and pediatric contraindications.</w:t>
      </w:r>
    </w:p>
    <w:p>
      <w:r>
        <w:t xml:space="preserve">Positive Marks: 1</w:t>
      </w:r>
    </w:p>
    <w:p>
      <w:r>
        <w:t xml:space="preserve">Negative Marks: 0.33</w:t>
      </w:r>
    </w:p>
    <w:p/>
    <w:p>
      <w:r>
        <w:rPr>
          <w:b/>
        </w:rPr>
        <w:t xml:space="preserve">Question: Bacterial resistance to tetracyclines most commonly occurs through which mechanism?</w:t>
      </w:r>
    </w:p>
    <w:p>
      <w:r>
        <w:t xml:space="preserve">(a) Enzymatic degradation of the tetracycline nucleus</w:t>
      </w:r>
    </w:p>
    <w:p>
      <w:r>
        <w:t xml:space="preserve">(b) Decreased permeability and active efflux pump-mediated extrusion from bacterial cells</w:t>
      </w:r>
    </w:p>
    <w:p>
      <w:r>
        <w:t xml:space="preserve">(c) Ribosomal methylation and target site modification</w:t>
      </w:r>
    </w:p>
    <w:p>
      <w:r>
        <w:t xml:space="preserve">(d) Altered penicillin-binding proteins</w:t>
      </w:r>
    </w:p>
    <w:p>
      <w:r>
        <w:t xml:space="preserve">Answer: b</w:t>
      </w:r>
    </w:p>
    <w:p>
      <w:r>
        <w:t xml:space="preserve">Solution: The predominant tetracycline resistance mechanism is efflux pump-mediated resistance (Tet proteins like Tet(K), Tet(L)) that actively pump tetracyclines out of bacterial cells, reducing intracellular concentration below effective levels. Decreased permeability also plays a role. Ribosomal methylation is the primary resistance mechanism for macrolides/linezolid. Enzymatic inactivation of tetracyclines is rare. PBP alterations mediate beta-lactam resistance. Understanding resistance mechanisms guides antibiotic selection and predicts resistance patterns in clinical practice.</w:t>
      </w:r>
    </w:p>
    <w:p>
      <w:r>
        <w:t xml:space="preserve">Positive Marks: 1</w:t>
      </w:r>
    </w:p>
    <w:p>
      <w:r>
        <w:t xml:space="preserve">Negative Marks: 0.33</w:t>
      </w:r>
    </w:p>
    <w:p/>
    <w:p>
      <w:r>
        <w:rPr>
          <w:b/>
        </w:rPr>
        <w:t xml:space="preserve">Question: An 8-year-old child with confirmed Mycoplasma pneumoniae is prescribed doxycycline after parental counseling about risks. By starting treatment at exactly 8 years rather than waiting until age 9, which adverse effect risk timing is most clinically relevant?</w:t>
      </w:r>
    </w:p>
    <w:p>
      <w:r>
        <w:t xml:space="preserve">(a) Hepatotoxicity</w:t>
      </w:r>
    </w:p>
    <w:p>
      <w:r>
        <w:t xml:space="preserve">(b) Permanent tooth enamel staining</w:t>
      </w:r>
    </w:p>
    <w:p>
      <w:r>
        <w:t xml:space="preserve">(c) Renal dysfunction</w:t>
      </w:r>
    </w:p>
    <w:p>
      <w:r>
        <w:t xml:space="preserve">(d) Esophageal ulceration</w:t>
      </w:r>
    </w:p>
    <w:p>
      <w:r>
        <w:t xml:space="preserve">Answer: b</w:t>
      </w:r>
    </w:p>
    <w:p>
      <w:r>
        <w:t xml:space="preserve">Solution: Permanent tooth enamel formation extends until approximately 8-9 years; the 8-year mark represents the critical boundary. Starting doxycycline at 8 years carries some staining risk since enamel formation may still be ongoing in some tooth structures; waiting until age 9 ensures negligible risk. This scenario illustrates clinical judgment balancing benefit (treating serious Mycoplasma infection) against risk. The tooth discoloration risk is developmentally time-sensitive. Hepatotoxicity, renal dysfunction, and esophageal ulcers are not age-dependent concerns for tetracyclines.</w:t>
      </w:r>
    </w:p>
    <w:p>
      <w:r>
        <w:t xml:space="preserve">Positive Marks: 1</w:t>
      </w:r>
    </w:p>
    <w:p>
      <w:r>
        <w:t xml:space="preserve">Negative Marks: 0.33</w:t>
      </w:r>
    </w:p>
    <w:p/>
    <w:p>
      <w:r>
        <w:rPr>
          <w:b/>
        </w:rPr>
        <w:t xml:space="preserve">Question: Tetracyclines undergo calcium chelation in bone, particularly in areas of active mineralization. This is most clinically significant in which patient populations?</w:t>
      </w:r>
    </w:p>
    <w:p>
      <w:r>
        <w:t xml:space="preserve">(a) Adult males receiving long-term continuous therapy</w:t>
      </w:r>
    </w:p>
    <w:p>
      <w:r>
        <w:t xml:space="preserve">(b) Pregnant women and children &lt;8 years old</w:t>
      </w:r>
    </w:p>
    <w:p>
      <w:r>
        <w:t xml:space="preserve">(c) Elderly patients receiving single-dose therapy</w:t>
      </w:r>
    </w:p>
    <w:p>
      <w:r>
        <w:t xml:space="preserve">(d) Patients with chronic renal impairment</w:t>
      </w:r>
    </w:p>
    <w:p>
      <w:r>
        <w:t xml:space="preserve">Answer: b</w:t>
      </w:r>
    </w:p>
    <w:p>
      <w:r>
        <w:t xml:space="preserve">Solution: Tetracycline chelation in bone is critically important in pregnant women (affecting fetal skeletal development and permanent tooth formation—Category D) and children &lt;8 years (affecting actively growing bones and enamel formation). In adults, bone deposition is generally not clinically significant. The mechanism involves calcium chelation during periods of active bone and tooth mineralization. While renal impairment increases tetracycline toxicity overall, the bone chelation effect is specifically problematic during growth and fetal development. This explains absolute contraindications in pregnancy and pediatrics.</w:t>
      </w:r>
    </w:p>
    <w:p>
      <w:r>
        <w:t xml:space="preserve">Positive Marks: 1</w:t>
      </w:r>
    </w:p>
    <w:p>
      <w:r>
        <w:t xml:space="preserve">Negative Marks: 0.33</w:t>
      </w:r>
    </w:p>
    <w:p/>
    <w:p>
      <w:r>
        <w:rPr>
          <w:b/>
        </w:rPr>
        <w:t xml:space="preserve">Question: A patient on chloramphenicol for resistant gram-negative meningitis develops fever, sore throat, severe pallor, petechiae, and mucosal bleeding on day 21 of therapy. CBC shows pancytopenia. What is the most likely diagnosis and appropriate management?</w:t>
      </w:r>
    </w:p>
    <w:p>
      <w:r>
        <w:t xml:space="preserve">(a) Drug fever; continue chloramphenicol with close hematologic monitoring</w:t>
      </w:r>
    </w:p>
    <w:p>
      <w:r>
        <w:t xml:space="preserve">(b) Idiosyncratic aplastic anemia; discontinue chloramphenicol immediately</w:t>
      </w:r>
    </w:p>
    <w:p>
      <w:r>
        <w:t xml:space="preserve">(c) Dose-dependent bone marrow suppression; reduce the chloramphenicol dose</w:t>
      </w:r>
    </w:p>
    <w:p>
      <w:r>
        <w:t xml:space="preserve">(d) Concurrent viral infection; add empiric antiviral therapy</w:t>
      </w:r>
    </w:p>
    <w:p>
      <w:r>
        <w:t xml:space="preserve">Answer: b</w:t>
      </w:r>
    </w:p>
    <w:p>
      <w:r>
        <w:t xml:space="preserve">Solution: This clinical presentation (fever, sore throat, severe pallor, petechiae, pancytopenia on day 21) is classic for idiosyncratic aplastic anemia—an unpredictable, irreversible bone marrow aplasia occurring in 1 in 20,000-40,000 patients, days to months after drug initiation. This is a medical emergency requiring immediate chloramphenicol discontinuation and supportive care (transfusions, hematopoietic support, possible stem cell transplant). Dose-dependent suppression, while reversible, typically occurs earlier and is predictable on monitoring. This scenario is a critical examination question testing risk management and emergency recognition.</w:t>
      </w:r>
    </w:p>
    <w:p>
      <w:r>
        <w:t xml:space="preserve">Positive Marks: 1</w:t>
      </w:r>
    </w:p>
    <w:p>
      <w:r>
        <w:t xml:space="preserve">Negative Marks: 0.33</w:t>
      </w:r>
    </w:p>
    <w:p/>
    <w:p>
      <w:r>
        <w:rPr>
          <w:b/>
        </w:rPr>
        <w:t xml:space="preserve">Question: Which mechanism best explains why tetracycline resistance mediated by multidrug efflux pumps can confer cross-resistance to structurally unrelated antimicrobial classes?</w:t>
      </w:r>
    </w:p>
    <w:p>
      <w:r>
        <w:t xml:space="preserve">(a) The same efflux pump recognizes multiple structurally similar antibiotics through identical binding sites</w:t>
      </w:r>
    </w:p>
    <w:p>
      <w:r>
        <w:t xml:space="preserve">(b) Tetracycline-resistant organisms simultaneously produce beta-lactamase and other inactivating enzymes</w:t>
      </w:r>
    </w:p>
    <w:p>
      <w:r>
        <w:t xml:space="preserve">(c) Plasmid-encoded multidrug resistance (MDR) efflux pumps have broad substrate specificity and can extrude various hydrophobic molecules including tetracyclines, macrolides, and fluoroquinolones</w:t>
      </w:r>
    </w:p>
    <w:p>
      <w:r>
        <w:t xml:space="preserve">(d) Tetracycline resistance mutations simultaneously alter ribosomal targets and other essential bacterial enzymes</w:t>
      </w:r>
    </w:p>
    <w:p>
      <w:r>
        <w:t xml:space="preserve">Answer: c</w:t>
      </w:r>
    </w:p>
    <w:p>
      <w:r>
        <w:t xml:space="preserve">Solution: Many tetracycline resistance genes encode multidrug resistance (MDR) efflux pumps (e.g., Tet(K), Tet(L)) with broad substrate specificity that can pump out multiple hydrophobic antimicrobials beyond tetracyclines, including macrolides, fluoroquinolones, and chloramphenicol. This non-specific recognition leads to cross-resistance to unrelated antibiotic classes. This is distinct from specific resistance mechanisms (ribosomal methylation for macrolides, PBP alterations for beta-lactams). Understanding MDR pump biology and plasmid-mediated multidrug resistance is critical for predicting resistance patterns and infection control strategies.</w:t>
      </w:r>
    </w:p>
    <w:p>
      <w:r>
        <w:t xml:space="preserve">Positive Marks: 1</w:t>
      </w:r>
    </w:p>
    <w:p>
      <w:r>
        <w:t xml:space="preserve">Negative Marks: 0.33</w:t>
      </w:r>
    </w:p>
    <w:p/>
    <w:p>
      <w:r>
        <w:rPr>
          <w:b/>
        </w:rPr>
        <w:t xml:space="preserve">Question: A patient on long-term doxycycline for acne develops severe photosensitivity on sun exposure. Which clinical feature best distinguishes phototoxicity from photoallergy?</w:t>
      </w:r>
    </w:p>
    <w:p>
      <w:r>
        <w:t xml:space="preserve">(a) Phototoxicity is IgE-mediated; photoallergy is a non-immune reaction</w:t>
      </w:r>
    </w:p>
    <w:p>
      <w:r>
        <w:t xml:space="preserve">(b) Phototoxicity appears only on sun-exposed areas; photoallergy spreads to completely covered areas</w:t>
      </w:r>
    </w:p>
    <w:p>
      <w:r>
        <w:t xml:space="preserve">(c) Phototoxicity occurs on first sun exposure; photoallergy requires prior sensitization and develops after re-exposure</w:t>
      </w:r>
    </w:p>
    <w:p>
      <w:r>
        <w:t xml:space="preserve">(d) Phototoxicity is more common with doxycycline than photoallergy</w:t>
      </w:r>
    </w:p>
    <w:p>
      <w:r>
        <w:t xml:space="preserve">Answer: c</w:t>
      </w:r>
    </w:p>
    <w:p>
      <w:r>
        <w:t xml:space="preserve">Solution: Phototoxicity is a predictable, non-immune reaction occurring on first sun exposure during the drug—manifests as severe sunburn-like reaction. Photoallergy is a delayed hypersensitivity (type IV) requiring prior sensitization to drug-hapten complex—develops within 24-72 hours on re-exposure. Both can occur with doxycycline, but phototoxicity is more frequent. Clinically, phototoxicity is generally confined to exposed areas initially; photoallergy may spread to covered areas on re-exposure. This distinction guides counseling: UV protection prevents phototoxicity; drug discontinuation is essential for photoallergy. Memory aid: 'Phototoxicity = First exposure; Photoallergy = Antigen presentation memory.'</w:t>
      </w:r>
    </w:p>
    <w:p>
      <w:r>
        <w:t xml:space="preserve">Positive Marks: 1</w:t>
      </w:r>
    </w:p>
    <w:p>
      <w:r>
        <w:t xml:space="preserve">Negative Marks: 0.33</w:t>
      </w:r>
    </w:p>
    <w:p/>
    <w:p>
      <w:r>
        <w:rPr>
          <w:b/>
        </w:rPr>
        <w:t xml:space="preserve">Question: Tigecycline, a newer broad-spectrum tetracycline derivative (9-t-butylglycylamide tetracycline), overcomes most tetracycline resistance mechanisms but remains vulnerable to which resistance mechanism?</w:t>
      </w:r>
    </w:p>
    <w:p>
      <w:r>
        <w:t xml:space="preserve">(a) Ribosomal protection proteins like Tet(M) and Tet(O)</w:t>
      </w:r>
    </w:p>
    <w:p>
      <w:r>
        <w:t xml:space="preserve">(b) Efflux pump-mediated resistance</w:t>
      </w:r>
    </w:p>
    <w:p>
      <w:r>
        <w:t xml:space="preserve">(c) Ribosomal methylation</w:t>
      </w:r>
    </w:p>
    <w:p>
      <w:r>
        <w:t xml:space="preserve">(d) Enzymatic inactivation</w:t>
      </w:r>
    </w:p>
    <w:p>
      <w:r>
        <w:t xml:space="preserve">Answer: a</w:t>
      </w:r>
    </w:p>
    <w:p>
      <w:r>
        <w:t xml:space="preserve">Solution: Tigecycline has a broader spectrum and overcomes many tetracycline resistance mechanisms (efflux pumps, some methylation) due to superior ribosomal binding. However, it is less effective against ribosomal protection proteins (Tet(M), Tet(O))—these proteins shield or alter the ribosome, preventing tigecycline binding and reducing drug efficacy. Ribosomal protection remains a significant barrier to tigecycline activity in some organisms. This explains why tigecycline is reserved as a last-line agent for multidrug-resistant infections. Understanding its limitations justifies restricted use in antimicrobial stewardship programs and guides clinical decision-making in resistant infections.</w:t>
      </w:r>
    </w:p>
    <w:p>
      <w:r>
        <w:t xml:space="preserve">Positive Marks: 1</w:t>
      </w:r>
    </w:p>
    <w:p>
      <w:r>
        <w:t xml:space="preserve">Negative Marks: 0.33</w:t>
      </w:r>
    </w:p>
    <w:sectPr>
      <w:pgSz w:w="11906" w:h="16838"/>
      <w:pgMar w:top="1134" w:right="1134" w:bottom="1134" w:left="1134"/>
    </w:sectPr>
  </w:body>
</w:document>
</file>