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Gastritis is defined as inflammation of which layer of the stomach?</w:t>
      </w:r>
    </w:p>
    <w:p>
      <w:r>
        <w:t xml:space="preserve">(a) Mucosa and submucosa</w:t>
      </w:r>
    </w:p>
    <w:p>
      <w:r>
        <w:t xml:space="preserve">(b) Serosa only</w:t>
      </w:r>
    </w:p>
    <w:p>
      <w:r>
        <w:t xml:space="preserve">(c) Muscular layer only</w:t>
      </w:r>
    </w:p>
    <w:p>
      <w:r>
        <w:t xml:space="preserve">(d) All layers of stomach wall</w:t>
      </w:r>
    </w:p>
    <w:p>
      <w:r>
        <w:t xml:space="preserve">Answer: a</w:t>
      </w:r>
    </w:p>
    <w:p>
      <w:r>
        <w:t xml:space="preserve">Solution: Gastritis specifically involves inflammation of the gastric mucosa and submucosa. The serosa is involved in serositis, not gastritis. Muscular layer involvement indicates gastroparesis or motility disorders. Transmural involvement suggests more serious conditions like Crohn's disease or malignancy. The key distinction is that gastritis is limited to superficial layers of the stomach wall.</w:t>
      </w:r>
    </w:p>
    <w:p>
      <w:r>
        <w:t xml:space="preserve">Positive Marks: 1</w:t>
      </w:r>
    </w:p>
    <w:p>
      <w:r>
        <w:t xml:space="preserve">Negative Marks: 0.33</w:t>
      </w:r>
    </w:p>
    <w:p/>
    <w:p>
      <w:r>
        <w:rPr>
          <w:b/>
        </w:rPr>
        <w:t xml:space="preserve">Question: Which medication is most commonly associated with NSAID-induced gastritis?</w:t>
      </w:r>
    </w:p>
    <w:p>
      <w:r>
        <w:t xml:space="preserve">(a) Ibuprofen</w:t>
      </w:r>
    </w:p>
    <w:p>
      <w:r>
        <w:t xml:space="preserve">(b) Aspirin</w:t>
      </w:r>
    </w:p>
    <w:p>
      <w:r>
        <w:t xml:space="preserve">(c) Naproxen</w:t>
      </w:r>
    </w:p>
    <w:p>
      <w:r>
        <w:t xml:space="preserve">(d) Indomethacin</w:t>
      </w:r>
    </w:p>
    <w:p>
      <w:r>
        <w:t xml:space="preserve">Answer: b</w:t>
      </w:r>
    </w:p>
    <w:p>
      <w:r>
        <w:t xml:space="preserve">Solution: Aspirin has the strongest mucosal damage potential due to its direct irritant effect and COX inhibition. While all NSAIDs can cause gastritis, aspirin shows the highest association with gastritis and peptic ulcer disease. The mechanism involves inhibition of protective prostaglandin synthesis. Indomethacin is more associated with enteritis. Memory aid: ASA = Aspirin's mucosal Assault.</w:t>
      </w:r>
    </w:p>
    <w:p>
      <w:r>
        <w:t xml:space="preserve">Positive Marks: 1</w:t>
      </w:r>
    </w:p>
    <w:p>
      <w:r>
        <w:t xml:space="preserve">Negative Marks: 0.33</w:t>
      </w:r>
    </w:p>
    <w:p/>
    <w:p>
      <w:r>
        <w:rPr>
          <w:b/>
        </w:rPr>
        <w:t xml:space="preserve">Question: A patient with acute gastritis presents with which of the following signs?</w:t>
      </w:r>
    </w:p>
    <w:p>
      <w:r>
        <w:t xml:space="preserve">(a) Hematemesis, epigastric pain, anorexia</w:t>
      </w:r>
    </w:p>
    <w:p>
      <w:r>
        <w:t xml:space="preserve">(b) Painless melena, weight loss, vomiting</w:t>
      </w:r>
    </w:p>
    <w:p>
      <w:r>
        <w:t xml:space="preserve">(c) Dysphagia, odynophagia, hoarseness</w:t>
      </w:r>
    </w:p>
    <w:p>
      <w:r>
        <w:t xml:space="preserve">(d) Abdominal distension, fecal impaction, constipation</w:t>
      </w:r>
    </w:p>
    <w:p>
      <w:r>
        <w:t xml:space="preserve">Answer: a</w:t>
      </w:r>
    </w:p>
    <w:p>
      <w:r>
        <w:t xml:space="preserve">Solution: Acute gastritis typically presents with hematemesis (blood in vomit), epigastric pain, anorexia (loss of appetite), and nausea. Painless melena describes chronic presentation with possible malignancy. Dysphagia and hoarseness suggest esophageal pathology. Abdominal distension and constipation indicate lower GI obstruction. The acute presentation with bleeding and pain is characteristic of acute mucosal inflammation.</w:t>
      </w:r>
    </w:p>
    <w:p>
      <w:r>
        <w:t xml:space="preserve">Positive Marks: 1</w:t>
      </w:r>
    </w:p>
    <w:p>
      <w:r>
        <w:t xml:space="preserve">Negative Marks: 0.33</w:t>
      </w:r>
    </w:p>
    <w:p/>
    <w:p>
      <w:r>
        <w:rPr>
          <w:b/>
        </w:rPr>
        <w:t xml:space="preserve">Question: Helicobacter pylori contributes to chronic gastritis primarily through which mechanism?</w:t>
      </w:r>
    </w:p>
    <w:p>
      <w:r>
        <w:t xml:space="preserve">(a) Producing ammonia that damages mucosa</w:t>
      </w:r>
    </w:p>
    <w:p>
      <w:r>
        <w:t xml:space="preserve">(b) Direct invasion of the lamina propria</w:t>
      </w:r>
    </w:p>
    <w:p>
      <w:r>
        <w:t xml:space="preserve">(c) Competing with protective bacteria</w:t>
      </w:r>
    </w:p>
    <w:p>
      <w:r>
        <w:t xml:space="preserve">(d) Increasing gastric acid production</w:t>
      </w:r>
    </w:p>
    <w:p>
      <w:r>
        <w:t xml:space="preserve">Answer: a</w:t>
      </w:r>
    </w:p>
    <w:p>
      <w:r>
        <w:t xml:space="preserve">Solution: H. pylori produces urease enzyme that breaks down urea into ammonia and CO2, creating an alkaline microenvironment that damages the protective mucus layer and triggers inflammation. While it does invade tissue, ammonia production is the primary pathogenic mechanism. This urease-ammonia pathway is the hallmark of H. pylori virulence. Competing with bacteria and acid production are not the main mechanisms.</w:t>
      </w:r>
    </w:p>
    <w:p>
      <w:r>
        <w:t xml:space="preserve">Positive Marks: 1</w:t>
      </w:r>
    </w:p>
    <w:p>
      <w:r>
        <w:t xml:space="preserve">Negative Marks: 0.33</w:t>
      </w:r>
    </w:p>
    <w:p/>
    <w:p>
      <w:r>
        <w:rPr>
          <w:b/>
        </w:rPr>
        <w:t xml:space="preserve">Question: Which type of gastritis involves loss of parietal cells and achlorhydria?</w:t>
      </w:r>
    </w:p>
    <w:p>
      <w:r>
        <w:t xml:space="preserve">(a) Acute gastritis</w:t>
      </w:r>
    </w:p>
    <w:p>
      <w:r>
        <w:t xml:space="preserve">(b) Atrophic gastritis</w:t>
      </w:r>
    </w:p>
    <w:p>
      <w:r>
        <w:t xml:space="preserve">(c) Hypertrophic gastritis</w:t>
      </w:r>
    </w:p>
    <w:p>
      <w:r>
        <w:t xml:space="preserve">(d) Antral gastritis</w:t>
      </w:r>
    </w:p>
    <w:p>
      <w:r>
        <w:t xml:space="preserve">Answer: b</w:t>
      </w:r>
    </w:p>
    <w:p>
      <w:r>
        <w:t xml:space="preserve">Solution: Atrophic gastritis is characterized by progressive loss of parietal cells (which produce HCl and intrinsic factor), resulting in achlorhydria (absent gastric acid) and intrinsic factor deficiency. Acute gastritis is temporary and reversible. Hypertrophic gastritis involves thickened folds with normal parietal cells. Antral gastritis is H. pylori-related without parietal cell loss. Atrophic changes are irreversible and precancerous.</w:t>
      </w:r>
    </w:p>
    <w:p>
      <w:r>
        <w:t xml:space="preserve">Positive Marks: 1</w:t>
      </w:r>
    </w:p>
    <w:p>
      <w:r>
        <w:t xml:space="preserve">Negative Marks: 0.33</w:t>
      </w:r>
    </w:p>
    <w:p/>
    <w:p>
      <w:r>
        <w:rPr>
          <w:b/>
        </w:rPr>
        <w:t xml:space="preserve">Question: A patient with chronic atrophic gastritis is at increased risk for which serious complication?</w:t>
      </w:r>
    </w:p>
    <w:p>
      <w:r>
        <w:t xml:space="preserve">(a) Acute hemorrhagic shock</w:t>
      </w:r>
    </w:p>
    <w:p>
      <w:r>
        <w:t xml:space="preserve">(b) Pernicious anemia</w:t>
      </w:r>
    </w:p>
    <w:p>
      <w:r>
        <w:t xml:space="preserve">(c) Pyloric stenosis</w:t>
      </w:r>
    </w:p>
    <w:p>
      <w:r>
        <w:t xml:space="preserve">(d) Acute perforation</w:t>
      </w:r>
    </w:p>
    <w:p>
      <w:r>
        <w:t xml:space="preserve">Answer: b</w:t>
      </w:r>
    </w:p>
    <w:p>
      <w:r>
        <w:t xml:space="preserve">Solution: Atrophic gastritis causes loss of parietal cells which produce intrinsic factor; this leads to vitamin B12 malabsorption and pernicious anemia. Hemorrhagic shock is more common in acute erosive gastritis. Pyloric stenosis is a mechanical obstruction unrelated to atrophic changes. Perforation is rare in chronic atrophic gastritis. The intrinsic factor deficiency directly causes megaloblastic anemia.</w:t>
      </w:r>
    </w:p>
    <w:p>
      <w:r>
        <w:t xml:space="preserve">Positive Marks: 1</w:t>
      </w:r>
    </w:p>
    <w:p>
      <w:r>
        <w:t xml:space="preserve">Negative Marks: 0.33</w:t>
      </w:r>
    </w:p>
    <w:p/>
    <w:p>
      <w:r>
        <w:rPr>
          <w:b/>
        </w:rPr>
        <w:t xml:space="preserve">Question: Which diagnostic procedure is the gold standard for confirming H. pylori infection?</w:t>
      </w:r>
    </w:p>
    <w:p>
      <w:r>
        <w:t xml:space="preserve">(a) Serology testing for H. pylori antibodies</w:t>
      </w:r>
    </w:p>
    <w:p>
      <w:r>
        <w:t xml:space="preserve">(b) Endoscopy with biopsy and urease test</w:t>
      </w:r>
    </w:p>
    <w:p>
      <w:r>
        <w:t xml:space="preserve">(c) Stool antigen detection</w:t>
      </w:r>
    </w:p>
    <w:p>
      <w:r>
        <w:t xml:space="preserve">(d) Breath urea test</w:t>
      </w:r>
    </w:p>
    <w:p>
      <w:r>
        <w:t xml:space="preserve">Answer: b</w:t>
      </w:r>
    </w:p>
    <w:p>
      <w:r>
        <w:t xml:space="preserve">Solution: Endoscopy with direct visualization, biopsy for histology, and CLO (urease) test is the gold standard as it allows direct visualization of mucosal damage and organism detection. Serology cannot distinguish active from past infection. Stool antigen and breath tests are non-invasive alternatives but less specific. Endoscopy with biopsy provides definitive diagnosis and permits assessment of severity and dysplasia.</w:t>
      </w:r>
    </w:p>
    <w:p>
      <w:r>
        <w:t xml:space="preserve">Positive Marks: 1</w:t>
      </w:r>
    </w:p>
    <w:p>
      <w:r>
        <w:t xml:space="preserve">Negative Marks: 0.33</w:t>
      </w:r>
    </w:p>
    <w:p/>
    <w:p>
      <w:r>
        <w:rPr>
          <w:b/>
        </w:rPr>
        <w:t xml:space="preserve">Question: Management of acute uncomplicated gastritis primarily involves which approach?</w:t>
      </w:r>
    </w:p>
    <w:p>
      <w:r>
        <w:t xml:space="preserve">(a) Immediate surgical intervention</w:t>
      </w:r>
    </w:p>
    <w:p>
      <w:r>
        <w:t xml:space="preserve">(b) Rest, bland diet, antacids, and treatment of underlying cause</w:t>
      </w:r>
    </w:p>
    <w:p>
      <w:r>
        <w:t xml:space="preserve">(c) Blood transfusion and continuous gastric lavage</w:t>
      </w:r>
    </w:p>
    <w:p>
      <w:r>
        <w:t xml:space="preserve">(d) Long-term corticosteroids and immunosuppressants</w:t>
      </w:r>
    </w:p>
    <w:p>
      <w:r>
        <w:t xml:space="preserve">Answer: b</w:t>
      </w:r>
    </w:p>
    <w:p>
      <w:r>
        <w:t xml:space="preserve">Solution: Acute gastritis management is conservative: bowel rest, bland diet, antacids for symptom relief, and identifying/treating the causative agent (NSAIDs, alcohol, stress). Surgery is reserved for complications like perforation or uncontrolled hemorrhage. Blood transfusion is only for severe hemorrhage. Corticosteroids are contraindicated in infectious/toxic gastritis. Conservative management is effective in majority of cases.</w:t>
      </w:r>
    </w:p>
    <w:p>
      <w:r>
        <w:t xml:space="preserve">Positive Marks: 1</w:t>
      </w:r>
    </w:p>
    <w:p>
      <w:r>
        <w:t xml:space="preserve">Negative Marks: 0.33</w:t>
      </w:r>
    </w:p>
    <w:p/>
    <w:p>
      <w:r>
        <w:rPr>
          <w:b/>
        </w:rPr>
        <w:t xml:space="preserve">Question: Chronic alcohol consumption causes gastritis through which primary mechanism?</w:t>
      </w:r>
    </w:p>
    <w:p>
      <w:r>
        <w:t xml:space="preserve">(a) Direct mucosal irritation and decreased mucus production</w:t>
      </w:r>
    </w:p>
    <w:p>
      <w:r>
        <w:t xml:space="preserve">(b) Increased gastrin production</w:t>
      </w:r>
    </w:p>
    <w:p>
      <w:r>
        <w:t xml:space="preserve">(c) Bacterial overgrowth in stomach</w:t>
      </w:r>
    </w:p>
    <w:p>
      <w:r>
        <w:t xml:space="preserve">(d) Autoimmune parietal cell destruction</w:t>
      </w:r>
    </w:p>
    <w:p>
      <w:r>
        <w:t xml:space="preserve">Answer: a</w:t>
      </w:r>
    </w:p>
    <w:p>
      <w:r>
        <w:t xml:space="preserve">Solution: Alcohol is directly irritant to gastric mucosa and reduces protective mucus and bicarbonate secretion, predisposing to inflammation and ulceration. Increased gastrin occurs in pernicious anemia, not alcohol-related gastritis. Bacterial overgrowth is not the mechanism. Autoimmune destruction occurs in atrophic gastritis. The chemical irritation and decreased cytoprotective mechanisms are primary.</w:t>
      </w:r>
    </w:p>
    <w:p>
      <w:r>
        <w:t xml:space="preserve">Positive Marks: 1</w:t>
      </w:r>
    </w:p>
    <w:p>
      <w:r>
        <w:t xml:space="preserve">Negative Marks: 0.33</w:t>
      </w:r>
    </w:p>
    <w:p/>
    <w:p>
      <w:r>
        <w:rPr>
          <w:b/>
        </w:rPr>
        <w:t xml:space="preserve">Question: Stress gastritis occurs due to which pathophysiological change?</w:t>
      </w:r>
    </w:p>
    <w:p>
      <w:r>
        <w:t xml:space="preserve">(a) Increased gastric acid production with decreased mucosal blood flow</w:t>
      </w:r>
    </w:p>
    <w:p>
      <w:r>
        <w:t xml:space="preserve">(b) Primary bacterial infection</w:t>
      </w:r>
    </w:p>
    <w:p>
      <w:r>
        <w:t xml:space="preserve">(c) Autoimmune destruction of gastric glands</w:t>
      </w:r>
    </w:p>
    <w:p>
      <w:r>
        <w:t xml:space="preserve">(d) Mechanical obstruction of the pylorus</w:t>
      </w:r>
    </w:p>
    <w:p>
      <w:r>
        <w:t xml:space="preserve">Answer: a</w:t>
      </w:r>
    </w:p>
    <w:p>
      <w:r>
        <w:t xml:space="preserve">Solution: Stress gastritis (stress-related mucosal disease) results from increased acid production combined with reduced mucosal perfusion and decreased protective mechanisms in critically ill patients or major trauma. This combination overwhelms mucosal defenses causing erosions and bleeding. Bacterial infection is not involved. Autoimmune causes chronic atrophic gastritis. Mechanical obstruction causes pyloric stenosis. The hemodynamic-acid imbalance is key.</w:t>
      </w:r>
    </w:p>
    <w:p>
      <w:r>
        <w:t xml:space="preserve">Positive Marks: 1</w:t>
      </w:r>
    </w:p>
    <w:p>
      <w:r>
        <w:t xml:space="preserve">Negative Marks: 0.33</w:t>
      </w:r>
    </w:p>
    <w:p/>
    <w:p>
      <w:r>
        <w:rPr>
          <w:b/>
        </w:rPr>
        <w:t xml:space="preserve">Question: Which of the following is a major risk factor for gastric carcinoma?</w:t>
      </w:r>
    </w:p>
    <w:p>
      <w:r>
        <w:t xml:space="preserve">(a) Acute viral gastroenteritis</w:t>
      </w:r>
    </w:p>
    <w:p>
      <w:r>
        <w:t xml:space="preserve">(b) Chronic H. pylori infection</w:t>
      </w:r>
    </w:p>
    <w:p>
      <w:r>
        <w:t xml:space="preserve">(c) Single episode of gastritis</w:t>
      </w:r>
    </w:p>
    <w:p>
      <w:r>
        <w:t xml:space="preserve">(d) Transient stress-induced gastritis</w:t>
      </w:r>
    </w:p>
    <w:p>
      <w:r>
        <w:t xml:space="preserve">Answer: b</w:t>
      </w:r>
    </w:p>
    <w:p>
      <w:r>
        <w:t xml:space="preserve">Solution: Chronic H. pylori infection is classified as a Class 1 carcinogen by WHO and significantly increases gastric cancer risk through chronic inflammation, intestinal metaplasia, and dysplasia. Acute viral infection does not lead to cancer. Single episodes and transient gastritis do not produce chronic pre-cancerous changes. H. pylori establishes persistent infection leading to malignant transformation over decades.</w:t>
      </w:r>
    </w:p>
    <w:p>
      <w:r>
        <w:t xml:space="preserve">Positive Marks: 1</w:t>
      </w:r>
    </w:p>
    <w:p>
      <w:r>
        <w:t xml:space="preserve">Negative Marks: 0.33</w:t>
      </w:r>
    </w:p>
    <w:p/>
    <w:p>
      <w:r>
        <w:rPr>
          <w:b/>
        </w:rPr>
        <w:t xml:space="preserve">Question: Early signs of gastric carcinoma include which of the following?</w:t>
      </w:r>
    </w:p>
    <w:p>
      <w:r>
        <w:t xml:space="preserve">(a) Severe hematemesis with shock</w:t>
      </w:r>
    </w:p>
    <w:p>
      <w:r>
        <w:t xml:space="preserve">(b) Persistent epigastric discomfort, early satiety, and weight loss</w:t>
      </w:r>
    </w:p>
    <w:p>
      <w:r>
        <w:t xml:space="preserve">(c) Projectile vomiting with abdominal distension</w:t>
      </w:r>
    </w:p>
    <w:p>
      <w:r>
        <w:t xml:space="preserve">(d) Bloody diarrhea with tenesmus</w:t>
      </w:r>
    </w:p>
    <w:p>
      <w:r>
        <w:t xml:space="preserve">Answer: b</w:t>
      </w:r>
    </w:p>
    <w:p>
      <w:r>
        <w:t xml:space="preserve">Solution: Early gastric cancer presents insidiously with persistent dyspepsia, early satiety (fullness with small food amounts), progressive weight loss, and anorexia. Severe hematemesis is a late sign indicating advanced disease. Projectile vomiting suggests obstruction. Bloody diarrhea indicates lower GI involvement or advanced metastatic disease. These subtle symptoms explain late diagnosis; key is persistence despite treatment.</w:t>
      </w:r>
    </w:p>
    <w:p>
      <w:r>
        <w:t xml:space="preserve">Positive Marks: 1</w:t>
      </w:r>
    </w:p>
    <w:p>
      <w:r>
        <w:t xml:space="preserve">Negative Marks: 0.33</w:t>
      </w:r>
    </w:p>
    <w:p/>
    <w:p>
      <w:r>
        <w:rPr>
          <w:b/>
        </w:rPr>
        <w:t xml:space="preserve">Question: The standard first-line therapy for H. pylori eradication in gastritis is:</w:t>
      </w:r>
    </w:p>
    <w:p>
      <w:r>
        <w:t xml:space="preserve">(a) Omeprazole monotherapy</w:t>
      </w:r>
    </w:p>
    <w:p>
      <w:r>
        <w:t xml:space="preserve">(b) Triple therapy: PPI + amoxicillin + clarithromycin</w:t>
      </w:r>
    </w:p>
    <w:p>
      <w:r>
        <w:t xml:space="preserve">(c) Bismuth alone</w:t>
      </w:r>
    </w:p>
    <w:p>
      <w:r>
        <w:t xml:space="preserve">(d) Antacids with dietary modification</w:t>
      </w:r>
    </w:p>
    <w:p>
      <w:r>
        <w:t xml:space="preserve">Answer: b</w:t>
      </w:r>
    </w:p>
    <w:p>
      <w:r>
        <w:t xml:space="preserve">Solution: Triple therapy combining a proton pump inhibitor (omeprazole), amoxicillin, and clarithromycin for 10-14 days is standard first-line with &gt;90% eradication rates. PPI monotherapy treats symptoms but doesn't eradicate the organism. Bismuth is second-line therapy. Antacids alone don't eradicate H. pylori. This combination provides optimal bactericidal effect against multiple organisms and prevents antibiotic resistance.</w:t>
      </w:r>
    </w:p>
    <w:p>
      <w:r>
        <w:t xml:space="preserve">Positive Marks: 1</w:t>
      </w:r>
    </w:p>
    <w:p>
      <w:r>
        <w:t xml:space="preserve">Negative Marks: 0.33</w:t>
      </w:r>
    </w:p>
    <w:p/>
    <w:p>
      <w:r>
        <w:rPr>
          <w:b/>
        </w:rPr>
        <w:t xml:space="preserve">Question: Antacids in gastritis management work primarily by which mechanism?</w:t>
      </w:r>
    </w:p>
    <w:p>
      <w:r>
        <w:t xml:space="preserve">(a) Killing bacteria and reducing inflammation</w:t>
      </w:r>
    </w:p>
    <w:p>
      <w:r>
        <w:t xml:space="preserve">(b) Neutralizing gastric acid and protecting mucosa</w:t>
      </w:r>
    </w:p>
    <w:p>
      <w:r>
        <w:t xml:space="preserve">(c) Increasing gastric motility</w:t>
      </w:r>
    </w:p>
    <w:p>
      <w:r>
        <w:t xml:space="preserve">(d) Promoting rapid gastric emptying</w:t>
      </w:r>
    </w:p>
    <w:p>
      <w:r>
        <w:t xml:space="preserve">Answer: b</w:t>
      </w:r>
    </w:p>
    <w:p>
      <w:r>
        <w:t xml:space="preserve">Solution: Antacids (aluminum hydroxide, magnesium hydroxide, calcium carbonate) neutralize existing HCl and provide protective coating over damaged mucosa. They do not kill bacteria or reduce primary inflammation. They don't increase motility or gastric emptying. Antacids provide symptomatic relief through acid buffering, though PPIs are more effective for sustained acid suppression and mucosal healing.</w:t>
      </w:r>
    </w:p>
    <w:p>
      <w:r>
        <w:t xml:space="preserve">Positive Marks: 1</w:t>
      </w:r>
    </w:p>
    <w:p>
      <w:r>
        <w:t xml:space="preserve">Negative Marks: 0.33</w:t>
      </w:r>
    </w:p>
    <w:p/>
    <w:p>
      <w:r>
        <w:rPr>
          <w:b/>
        </w:rPr>
        <w:t xml:space="preserve">Question: Which autoimmune antibody is characteristic of autoimmune/pernicious anemia-related gastritis?</w:t>
      </w:r>
    </w:p>
    <w:p>
      <w:r>
        <w:t xml:space="preserve">(a) Anti-tissue transglutaminase (anti-tTG)</w:t>
      </w:r>
    </w:p>
    <w:p>
      <w:r>
        <w:t xml:space="preserve">(b) Anti-parietal cell antibodies and anti-intrinsic factor antibodies</w:t>
      </w:r>
    </w:p>
    <w:p>
      <w:r>
        <w:t xml:space="preserve">(c) Anti-smooth muscle antibodies</w:t>
      </w:r>
    </w:p>
    <w:p>
      <w:r>
        <w:t xml:space="preserve">(d) Anti-endomysial antibodies</w:t>
      </w:r>
    </w:p>
    <w:p>
      <w:r>
        <w:t xml:space="preserve">Answer: b</w:t>
      </w:r>
    </w:p>
    <w:p>
      <w:r>
        <w:t xml:space="preserve">Solution: Autoimmune atrophic gastritis is characterized by antibodies against parietal cells and intrinsic factor, leading to achlorhydria and B12 malabsorption. Anti-tTG is for celiac disease. Anti-smooth muscle is for autoimmune hepatitis. Anti-endomysial is for celiac disease. The specific gastric antibodies confirm autoimmune etiology and guide long-term B12 supplementation and monitoring.</w:t>
      </w:r>
    </w:p>
    <w:p>
      <w:r>
        <w:t xml:space="preserve">Positive Marks: 1</w:t>
      </w:r>
    </w:p>
    <w:p>
      <w:r>
        <w:t xml:space="preserve">Negative Marks: 0.33</w:t>
      </w:r>
    </w:p>
    <w:p/>
    <w:p>
      <w:r>
        <w:rPr>
          <w:b/>
        </w:rPr>
        <w:t xml:space="preserve">Question: Gastric carcinoma most commonly metastasizes to which location?</w:t>
      </w:r>
    </w:p>
    <w:p>
      <w:r>
        <w:t xml:space="preserve">(a) Lungs primarily, then liver</w:t>
      </w:r>
    </w:p>
    <w:p>
      <w:r>
        <w:t xml:space="preserve">(b) Liver, followed by peritoneum and distant lymph nodes</w:t>
      </w:r>
    </w:p>
    <w:p>
      <w:r>
        <w:t xml:space="preserve">(c) Bone marrow exclusively</w:t>
      </w:r>
    </w:p>
    <w:p>
      <w:r>
        <w:t xml:space="preserve">(d) Regional lymph nodes only, without hematogenous spread</w:t>
      </w:r>
    </w:p>
    <w:p>
      <w:r>
        <w:t xml:space="preserve">Answer: b</w:t>
      </w:r>
    </w:p>
    <w:p>
      <w:r>
        <w:t xml:space="preserve">Solution: Gastric carcinoma spreads first to regional lymph nodes, then to liver (most common hematogenous site), peritoneum (Krukenberg tumors), and distant organs. Lungs are less common than liver metastases. Bone marrow is not typical. Hematogenous spread is common, not limited to lymph nodes. Understanding the pattern of spread is crucial for staging, treatment planning, and prognostic assessment.</w:t>
      </w:r>
    </w:p>
    <w:p>
      <w:r>
        <w:t xml:space="preserve">Positive Marks: 1</w:t>
      </w:r>
    </w:p>
    <w:p>
      <w:r>
        <w:t xml:space="preserve">Negative Marks: 0.33</w:t>
      </w:r>
    </w:p>
    <w:p/>
    <w:p>
      <w:r>
        <w:rPr>
          <w:b/>
        </w:rPr>
        <w:t xml:space="preserve">Question: In the pathogenesis of gastric carcinoma, intestinal metaplasia is significant because:</w:t>
      </w:r>
    </w:p>
    <w:p>
      <w:r>
        <w:t xml:space="preserve">(a) It directly produces malignant cells immediately</w:t>
      </w:r>
    </w:p>
    <w:p>
      <w:r>
        <w:t xml:space="preserve">(b) It is a pre-malignant change in Correa's cascade: H. pylori → atrophy → metaplasia → dysplasia → cancer</w:t>
      </w:r>
    </w:p>
    <w:p>
      <w:r>
        <w:t xml:space="preserve">(c) It is irreversible and always progresses to cancer</w:t>
      </w:r>
    </w:p>
    <w:p>
      <w:r>
        <w:t xml:space="preserve">(d) It indicates cancer has already invaded the submucosa</w:t>
      </w:r>
    </w:p>
    <w:p>
      <w:r>
        <w:t xml:space="preserve">Answer: b</w:t>
      </w:r>
    </w:p>
    <w:p>
      <w:r>
        <w:t xml:space="preserve">Solution: Intestinal metaplasia represents replacement of gastric mucosa with intestinal-type epithelium and is part of Correa's internationally recognized cascade of H. pylori-induced carcinogenesis. It's a pre-malignant step, not immediate malignancy. While progression risk increases, not all cases inevitably transform to cancer. Metaplasia precedes invasion of deeper layers. This sequence understanding is essential for surveillance of high-risk patients.</w:t>
      </w:r>
    </w:p>
    <w:p>
      <w:r>
        <w:t xml:space="preserve">Positive Marks: 1</w:t>
      </w:r>
    </w:p>
    <w:p>
      <w:r>
        <w:t xml:space="preserve">Negative Marks: 0.33</w:t>
      </w:r>
    </w:p>
    <w:p/>
    <w:p>
      <w:r>
        <w:rPr>
          <w:b/>
        </w:rPr>
        <w:t xml:space="preserve">Question: Which TNM stage of gastric carcinoma indicates tumor invasion into the muscular layer without lymph node involvement?</w:t>
      </w:r>
    </w:p>
    <w:p>
      <w:r>
        <w:t xml:space="preserve">(a) Stage 0 (Tis)</w:t>
      </w:r>
    </w:p>
    <w:p>
      <w:r>
        <w:t xml:space="preserve">(b) Stage IB (T1 N0 M0)</w:t>
      </w:r>
    </w:p>
    <w:p>
      <w:r>
        <w:t xml:space="preserve">(c) Stage IIA (T2 N0 M0)</w:t>
      </w:r>
    </w:p>
    <w:p>
      <w:r>
        <w:t xml:space="preserve">(d) Stage IIIA (T3 N1 M0)</w:t>
      </w:r>
    </w:p>
    <w:p>
      <w:r>
        <w:t xml:space="preserve">Answer: c</w:t>
      </w:r>
    </w:p>
    <w:p>
      <w:r>
        <w:t xml:space="preserve">Solution: In TNM staging, T2 indicates invasion into the muscularis propria. When there's no lymph node involvement (N0) and no distant metastases (M0), this is Stage IIA. T1 involves submucosa only. T3 indicates invasion beyond the muscularis into subserosa. Understanding T-stage depth is essential for accurate staging and prognosis prediction; Stage IIA has significantly better prognosis than higher stages.</w:t>
      </w:r>
    </w:p>
    <w:p>
      <w:r>
        <w:t xml:space="preserve">Positive Marks: 1</w:t>
      </w:r>
    </w:p>
    <w:p>
      <w:r>
        <w:t xml:space="preserve">Negative Marks: 0.33</w:t>
      </w:r>
    </w:p>
    <w:p/>
    <w:p>
      <w:r>
        <w:rPr>
          <w:b/>
        </w:rPr>
        <w:t xml:space="preserve">Question: A patient with advanced gastric carcinoma presenting with severe hematemesis and hemodynamic instability requires which immediate intervention?</w:t>
      </w:r>
    </w:p>
    <w:p>
      <w:r>
        <w:t xml:space="preserve">(a) Upper endoscopy for hemostasis plus supportive care and blood transfusion</w:t>
      </w:r>
    </w:p>
    <w:p>
      <w:r>
        <w:t xml:space="preserve">(b) Nasogastric tube aspiration alone</w:t>
      </w:r>
    </w:p>
    <w:p>
      <w:r>
        <w:t xml:space="preserve">(c) Laparoscopic gastrectomy under local anesthesia</w:t>
      </w:r>
    </w:p>
    <w:p>
      <w:r>
        <w:t xml:space="preserve">(d) High-dose proton pump inhibitors orally only</w:t>
      </w:r>
    </w:p>
    <w:p>
      <w:r>
        <w:t xml:space="preserve">Answer: a</w:t>
      </w:r>
    </w:p>
    <w:p>
      <w:r>
        <w:t xml:space="preserve">Solution: Life-threatening hemorrhage from gastric cancer requires immediate resuscitation (IV fluids, blood transfusion), hemodynamic support, and urgent upper endoscopy for therapeutic intervention (cauterization, epinephrine injection, banding). NG tube aspiration alone doesn't control bleeding. Laparoscopic surgery under local anesthesia is inappropriate and dangerous. Oral PPIs are insufficient for active hemorrhage. This is a medical emergency requiring simultaneous resuscitation and definitive therapy.</w:t>
      </w:r>
    </w:p>
    <w:p>
      <w:r>
        <w:t xml:space="preserve">Positive Marks: 1</w:t>
      </w:r>
    </w:p>
    <w:p>
      <w:r>
        <w:t xml:space="preserve">Negative Marks: 0.33</w:t>
      </w:r>
    </w:p>
    <w:p/>
    <w:p>
      <w:r>
        <w:rPr>
          <w:b/>
        </w:rPr>
        <w:t xml:space="preserve">Question: Which of the following best predicts poor prognosis in gastric carcinoma?</w:t>
      </w:r>
    </w:p>
    <w:p>
      <w:r>
        <w:t xml:space="preserve">(a) Tumor confined to mucosa, well-differentiated histology</w:t>
      </w:r>
    </w:p>
    <w:p>
      <w:r>
        <w:t xml:space="preserve">(b) Diffuse type (signet-ring cells), deep invasion, extensive lymph node involvement, young age</w:t>
      </w:r>
    </w:p>
    <w:p>
      <w:r>
        <w:t xml:space="preserve">(c) Small tumor size, located in fundus</w:t>
      </w:r>
    </w:p>
    <w:p>
      <w:r>
        <w:t xml:space="preserve">(d) Early detection on screening, superficial invasion only</w:t>
      </w:r>
    </w:p>
    <w:p>
      <w:r>
        <w:t xml:space="preserve">Answer: b</w:t>
      </w:r>
    </w:p>
    <w:p>
      <w:r>
        <w:t xml:space="preserve">Solution: Poor prognostic factors include: diffuse/signet-ring cell histology (worst prognosis), T3-T4 deep invasion, extensive lymph node involvement (N2-N3), and paradoxically young age (diffuse type more aggressive in younger patients). Mucosal tumors and well-differentiated cancers have favorable prognosis. Small tumor size indicates better outcomes. Early detection permits curative surgery. The combination in option (b) represents highest-risk patients requiring aggressive multimodal therapy with poorest survival rates.</w:t>
      </w:r>
    </w:p>
    <w:p>
      <w:r>
        <w:t xml:space="preserve">Positive Marks: 1</w:t>
      </w:r>
    </w:p>
    <w:p>
      <w:r>
        <w:t xml:space="preserve">Negative Marks: 0.33</w:t>
      </w:r>
    </w:p>
    <w:sectPr>
      <w:pgSz w:w="11906" w:h="16838"/>
      <w:pgMar w:top="1134" w:right="1134" w:bottom="1134" w:left="1134"/>
    </w:sectPr>
  </w:body>
</w:document>
</file>