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WHO diagnostic criteria, what is the normal fasting blood glucose level in a non-diabetic individual?</w:t>
      </w:r>
    </w:p>
    <w:p>
      <w:r>
        <w:t xml:space="preserve">(a) Less than 100 mg/dL</w:t>
      </w:r>
    </w:p>
    <w:p>
      <w:r>
        <w:t xml:space="preserve">(b) Less than 126 mg/dL</w:t>
      </w:r>
    </w:p>
    <w:p>
      <w:r>
        <w:t xml:space="preserve">(c) Less than 140 mg/dL</w:t>
      </w:r>
    </w:p>
    <w:p>
      <w:r>
        <w:t xml:space="preserve">(d) Less than 110 mg/dL</w:t>
      </w:r>
    </w:p>
    <w:p>
      <w:r>
        <w:t xml:space="preserve">Answer: a</w:t>
      </w:r>
    </w:p>
    <w:p>
      <w:r>
        <w:t xml:space="preserve">Solution: Normal fasting blood glucose is &lt;100 mg/dL (or &lt;5.6 mmol/L). Option b (126 mg/dL) is the diagnostic threshold for diabetes fasting level. Option c (140 mg/dL) is used for 2-hour post-glucose tolerance testing. Option d (110 mg/dL) falls in the impaired fasting glucose range. Memory aid: 100-100 rule for normal fasting glucose.</w:t>
      </w:r>
    </w:p>
    <w:p>
      <w:r>
        <w:t xml:space="preserve">Positive Marks: 1</w:t>
      </w:r>
    </w:p>
    <w:p>
      <w:r>
        <w:t xml:space="preserve">Negative Marks: 0.33</w:t>
      </w:r>
    </w:p>
    <w:p/>
    <w:p>
      <w:r>
        <w:rPr>
          <w:b/>
        </w:rPr>
        <w:t xml:space="preserve">Question: Type 1 diabetes mellitus is primarily characterized by which of the following pathophysiological mechanism?</w:t>
      </w:r>
    </w:p>
    <w:p>
      <w:r>
        <w:t xml:space="preserve">(a) Progressive insulin resistance in peripheral tissues</w:t>
      </w:r>
    </w:p>
    <w:p>
      <w:r>
        <w:t xml:space="preserve">(b) Autoimmune destruction of pancreatic beta cells leading to absolute insulin deficiency</w:t>
      </w:r>
    </w:p>
    <w:p>
      <w:r>
        <w:t xml:space="preserve">(c) Impaired insulin secretion with retained beta cell function</w:t>
      </w:r>
    </w:p>
    <w:p>
      <w:r>
        <w:t xml:space="preserve">(d) Excessive hepatic glucose production</w:t>
      </w:r>
    </w:p>
    <w:p>
      <w:r>
        <w:t xml:space="preserve">Answer: b</w:t>
      </w:r>
    </w:p>
    <w:p>
      <w:r>
        <w:t xml:space="preserve">Solution: Type 1 DM results from autoimmune-mediated destruction of pancreatic beta cells, causing absolute insulin deficiency requiring insulin therapy from onset. Option a describes Type 2 DM pathophysiology. Option c is partially seen in Type 2 DM. Option d is a contributing factor in both types but not the primary mechanism in Type 1. Key point: Type 1 = absolute insulin deficiency, often presenting in children with acute onset.</w:t>
      </w:r>
    </w:p>
    <w:p>
      <w:r>
        <w:t xml:space="preserve">Positive Marks: 1</w:t>
      </w:r>
    </w:p>
    <w:p>
      <w:r>
        <w:t xml:space="preserve">Negative Marks: 0.33</w:t>
      </w:r>
    </w:p>
    <w:p/>
    <w:p>
      <w:r>
        <w:rPr>
          <w:b/>
        </w:rPr>
        <w:t xml:space="preserve">Question: What is the fasting blood glucose level diagnostic threshold for diabetes mellitus according to ADA guidelines?</w:t>
      </w:r>
    </w:p>
    <w:p>
      <w:r>
        <w:t xml:space="preserve">(a) ≥110 mg/dL on two separate occasions</w:t>
      </w:r>
    </w:p>
    <w:p>
      <w:r>
        <w:t xml:space="preserve">(b) ≥126 mg/dL on two separate occasions</w:t>
      </w:r>
    </w:p>
    <w:p>
      <w:r>
        <w:t xml:space="preserve">(c) ≥100 mg/dL on two separate occasions</w:t>
      </w:r>
    </w:p>
    <w:p>
      <w:r>
        <w:t xml:space="preserve">(d) ≥140 mg/dL on two separate occasions</w:t>
      </w:r>
    </w:p>
    <w:p>
      <w:r>
        <w:t xml:space="preserve">Answer: b</w:t>
      </w:r>
    </w:p>
    <w:p>
      <w:r>
        <w:t xml:space="preserve">Solution: According to ADA guidelines, a fasting plasma glucose ≥126 mg/dL (or ≥7 mmol/L) on at least two separate occasions is diagnostic for diabetes mellitus. Option a (110 mg/dL) indicates impaired fasting glucose. Option c (100 mg/dL) is the upper limit of normal. Option d (140 mg/dL) is used for 2-hour post-load glucose value in OGTT. Mnemonic: 126 is the magic number for fasting diagnosis.</w:t>
      </w:r>
    </w:p>
    <w:p>
      <w:r>
        <w:t xml:space="preserve">Positive Marks: 1</w:t>
      </w:r>
    </w:p>
    <w:p>
      <w:r>
        <w:t xml:space="preserve">Negative Marks: 0.33</w:t>
      </w:r>
    </w:p>
    <w:p/>
    <w:p>
      <w:r>
        <w:rPr>
          <w:b/>
        </w:rPr>
        <w:t xml:space="preserve">Question: Type 2 diabetes mellitus primarily results from which combination of defects?</w:t>
      </w:r>
    </w:p>
    <w:p>
      <w:r>
        <w:t xml:space="preserve">(a) Absolute insulin deficiency and decreased glucagon secretion</w:t>
      </w:r>
    </w:p>
    <w:p>
      <w:r>
        <w:t xml:space="preserve">(b) Insulin resistance and progressive beta cell dysfunction</w:t>
      </w:r>
    </w:p>
    <w:p>
      <w:r>
        <w:t xml:space="preserve">(c) Autoimmune beta cell destruction and hyperglycogenolysis</w:t>
      </w:r>
    </w:p>
    <w:p>
      <w:r>
        <w:t xml:space="preserve">(d) Impaired glucose absorption and increased urinary glucose loss</w:t>
      </w:r>
    </w:p>
    <w:p>
      <w:r>
        <w:t xml:space="preserve">Answer: b</w:t>
      </w:r>
    </w:p>
    <w:p>
      <w:r>
        <w:t xml:space="preserve">Solution: Type 2 DM is characterized by insulin resistance (tissues fail to respond to insulin) combined with progressive deterioration of beta cell function over time. Option a describes Type 1. Option c also describes Type 1 with an incorrect additional mechanism. Option d is not a primary mechanism of Type 2. Type 2 pathophysiology: Resistance + Dysfunction (dual defect).</w:t>
      </w:r>
    </w:p>
    <w:p>
      <w:r>
        <w:t xml:space="preserve">Positive Marks: 1</w:t>
      </w:r>
    </w:p>
    <w:p>
      <w:r>
        <w:t xml:space="preserve">Negative Marks: 0.33</w:t>
      </w:r>
    </w:p>
    <w:p/>
    <w:p>
      <w:r>
        <w:rPr>
          <w:b/>
        </w:rPr>
        <w:t xml:space="preserve">Question: A 55-year-old man presents with polyuria, polydipsia, and polyphagia for 3 weeks. His fasting blood glucose is 280 mg/dL. Which of the following is the most likely diagnosis?</w:t>
      </w:r>
    </w:p>
    <w:p>
      <w:r>
        <w:t xml:space="preserve">(a) Type 1 diabetes mellitus with DKA</w:t>
      </w:r>
    </w:p>
    <w:p>
      <w:r>
        <w:t xml:space="preserve">(b) Type 2 diabetes mellitus with HHS</w:t>
      </w:r>
    </w:p>
    <w:p>
      <w:r>
        <w:t xml:space="preserve">(c) Type 2 diabetes mellitus with new-onset hyperglycemia</w:t>
      </w:r>
    </w:p>
    <w:p>
      <w:r>
        <w:t xml:space="preserve">(d) Secondary diabetes mellitus</w:t>
      </w:r>
    </w:p>
    <w:p>
      <w:r>
        <w:t xml:space="preserve">Answer: c</w:t>
      </w:r>
    </w:p>
    <w:p>
      <w:r>
        <w:t xml:space="preserve">Solution: Type 2 DM typically presents with gradual onset of polyuria, polydipsia, and polyphagia over weeks to months without acute metabolic derangement. Option a involves DKA (acute presentation, typically in young patients). Option b (HHS) is rare in Type 2 but presents with higher glucose levels and altered mental status. Option d is less common. Clinical pattern: Gradual onset in middle-aged/older adult = Type 2 DM.</w:t>
      </w:r>
    </w:p>
    <w:p>
      <w:r>
        <w:t xml:space="preserve">Positive Marks: 1</w:t>
      </w:r>
    </w:p>
    <w:p>
      <w:r>
        <w:t xml:space="preserve">Negative Marks: 0.33</w:t>
      </w:r>
    </w:p>
    <w:p/>
    <w:p>
      <w:r>
        <w:rPr>
          <w:b/>
        </w:rPr>
        <w:t xml:space="preserve">Question: Gestational diabetes mellitus (GDM) is defined as glucose intolerance that develops during which period of pregnancy?</w:t>
      </w:r>
    </w:p>
    <w:p>
      <w:r>
        <w:t xml:space="preserve">(a) First trimester (0-12 weeks)</w:t>
      </w:r>
    </w:p>
    <w:p>
      <w:r>
        <w:t xml:space="preserve">(b) Second trimester (13-28 weeks)</w:t>
      </w:r>
    </w:p>
    <w:p>
      <w:r>
        <w:t xml:space="preserve">(c) Second or third trimester (usually 24-28 weeks)</w:t>
      </w:r>
    </w:p>
    <w:p>
      <w:r>
        <w:t xml:space="preserve">(d) Third trimester only (&gt;28 weeks)</w:t>
      </w:r>
    </w:p>
    <w:p>
      <w:r>
        <w:t xml:space="preserve">Answer: c</w:t>
      </w:r>
    </w:p>
    <w:p>
      <w:r>
        <w:t xml:space="preserve">Solution: GDM is glucose intolerance diagnosed during pregnancy, typically identified at 24-28 weeks via glucose tolerance testing. Option a (first trimester) is when baseline glucose levels are established. Option b (second trimester only) is incomplete. Option d excludes early third trimester diagnosis. Key timing: 24-28 weeks is the standard screening window for GDM.</w:t>
      </w:r>
    </w:p>
    <w:p>
      <w:r>
        <w:t xml:space="preserve">Positive Marks: 1</w:t>
      </w:r>
    </w:p>
    <w:p>
      <w:r>
        <w:t xml:space="preserve">Negative Marks: 0.33</w:t>
      </w:r>
    </w:p>
    <w:p/>
    <w:p>
      <w:r>
        <w:rPr>
          <w:b/>
        </w:rPr>
        <w:t xml:space="preserve">Question: Which of the following oral hypoglycemic agents works primarily by increasing insulin secretion from pancreatic beta cells?</w:t>
      </w:r>
    </w:p>
    <w:p>
      <w:r>
        <w:t xml:space="preserve">(a) Metformin</w:t>
      </w:r>
    </w:p>
    <w:p>
      <w:r>
        <w:t xml:space="preserve">(b) Sulfonylureas</w:t>
      </w:r>
    </w:p>
    <w:p>
      <w:r>
        <w:t xml:space="preserve">(c) Alpha-glucosidase inhibitors</w:t>
      </w:r>
    </w:p>
    <w:p>
      <w:r>
        <w:t xml:space="preserve">(d) SGLT2 inhibitors</w:t>
      </w:r>
    </w:p>
    <w:p>
      <w:r>
        <w:t xml:space="preserve">Answer: b</w:t>
      </w:r>
    </w:p>
    <w:p>
      <w:r>
        <w:t xml:space="preserve">Solution: Sulfonylureas (e.g., glibenclamide, glipizide) act by stimulating pancreatic beta cells to secrete more insulin. Metformin (option a) reduces hepatic glucose production. Alpha-glucosidase inhibitors (option c) delay carbohydrate absorption. SGLT2 inhibitors (option d) increase urinary glucose excretion. Mnemonic: Sulfonylureas = Secretion Stimulus.</w:t>
      </w:r>
    </w:p>
    <w:p>
      <w:r>
        <w:t xml:space="preserve">Positive Marks: 1</w:t>
      </w:r>
    </w:p>
    <w:p>
      <w:r>
        <w:t xml:space="preserve">Negative Marks: 0.33</w:t>
      </w:r>
    </w:p>
    <w:p/>
    <w:p>
      <w:r>
        <w:rPr>
          <w:b/>
        </w:rPr>
        <w:t xml:space="preserve">Question: What is the primary mechanism of action of metformin in managing Type 2 diabetes mellitus?</w:t>
      </w:r>
    </w:p>
    <w:p>
      <w:r>
        <w:t xml:space="preserve">(a) Stimulation of pancreatic insulin secretion</w:t>
      </w:r>
    </w:p>
    <w:p>
      <w:r>
        <w:t xml:space="preserve">(b) Inhibition of hepatic glucose production and improvement of peripheral insulin sensitivity</w:t>
      </w:r>
    </w:p>
    <w:p>
      <w:r>
        <w:t xml:space="preserve">(c) Inhibition of alpha-glucosidase enzyme</w:t>
      </w:r>
    </w:p>
    <w:p>
      <w:r>
        <w:t xml:space="preserve">(d) Increased glucose excretion through kidneys</w:t>
      </w:r>
    </w:p>
    <w:p>
      <w:r>
        <w:t xml:space="preserve">Answer: b</w:t>
      </w:r>
    </w:p>
    <w:p>
      <w:r>
        <w:t xml:space="preserve">Solution: Metformin primarily works by decreasing hepatic gluconeogenesis and improving peripheral tissue insulin sensitivity without stimulating insulin secretion. Option a describes sulfonylureas. Option c describes alpha-glucosidase inhibitors. Option d describes SGLT2 inhibitors. Metformin advantage: Does not cause hypoglycemia when used alone and aids weight loss.</w:t>
      </w:r>
    </w:p>
    <w:p>
      <w:r>
        <w:t xml:space="preserve">Positive Marks: 1</w:t>
      </w:r>
    </w:p>
    <w:p>
      <w:r>
        <w:t xml:space="preserve">Negative Marks: 0.33</w:t>
      </w:r>
    </w:p>
    <w:p/>
    <w:p>
      <w:r>
        <w:rPr>
          <w:b/>
        </w:rPr>
        <w:t xml:space="preserve">Question: A diabetic patient on insulin therapy develops sudden onset trembling, sweating, tachycardia, and anxiety. Which of the following is the most likely diagnosis?</w:t>
      </w:r>
    </w:p>
    <w:p>
      <w:r>
        <w:t xml:space="preserve">(a) Hyperglycemia</w:t>
      </w:r>
    </w:p>
    <w:p>
      <w:r>
        <w:t xml:space="preserve">(b) Diabetic ketoacidosis</w:t>
      </w:r>
    </w:p>
    <w:p>
      <w:r>
        <w:t xml:space="preserve">(c) Hypoglycemia</w:t>
      </w:r>
    </w:p>
    <w:p>
      <w:r>
        <w:t xml:space="preserve">(d) Hyperosmolar hyperglycemic state</w:t>
      </w:r>
    </w:p>
    <w:p>
      <w:r>
        <w:t xml:space="preserve">Answer: c</w:t>
      </w:r>
    </w:p>
    <w:p>
      <w:r>
        <w:t xml:space="preserve">Solution: Hypoglycemia presents with sympathomimetic symptoms: tremor, sweating, tachycardia, anxiety, and palpitations due to catecholamine release. Option a (hyperglycemia) presents with polydipsia and polyuria. Option b (DKA) develops gradually with Kussmaul respiration. Option d (HHS) presents with altered mental status and extreme hyperglycemia. Adrenergic crisis signs = Hypoglycemia alert.</w:t>
      </w:r>
    </w:p>
    <w:p>
      <w:r>
        <w:t xml:space="preserve">Positive Marks: 1</w:t>
      </w:r>
    </w:p>
    <w:p>
      <w:r>
        <w:t xml:space="preserve">Negative Marks: 0.33</w:t>
      </w:r>
    </w:p>
    <w:p/>
    <w:p>
      <w:r>
        <w:rPr>
          <w:b/>
        </w:rPr>
        <w:t xml:space="preserve">Question: According to INC guidelines, the recommended dietary management of diabetes mellitus includes approximately what percentage of carbohydrates in total caloric intake?</w:t>
      </w:r>
    </w:p>
    <w:p>
      <w:r>
        <w:t xml:space="preserve">(a) 20-30%</w:t>
      </w:r>
    </w:p>
    <w:p>
      <w:r>
        <w:t xml:space="preserve">(b) 30-40%</w:t>
      </w:r>
    </w:p>
    <w:p>
      <w:r>
        <w:t xml:space="preserve">(c) 45-60%</w:t>
      </w:r>
    </w:p>
    <w:p>
      <w:r>
        <w:t xml:space="preserve">(d) 60-75%</w:t>
      </w:r>
    </w:p>
    <w:p>
      <w:r>
        <w:t xml:space="preserve">Answer: c</w:t>
      </w:r>
    </w:p>
    <w:p>
      <w:r>
        <w:t xml:space="preserve">Solution: INC and most international guidelines recommend 45-60% of total calories from complex carbohydrates in diabetic diet. Option a (20-30%) is too restrictive and risks hypoglycemia. Option b (30-40%) provides insufficient carbohydrate energy. Option d (60-75%) exceeds recommended levels and increases hyperglycemia risk. Diabetic diet ratio: 45-60% carbs, 15-20% protein, 25-30% fat.</w:t>
      </w:r>
    </w:p>
    <w:p>
      <w:r>
        <w:t xml:space="preserve">Positive Marks: 1</w:t>
      </w:r>
    </w:p>
    <w:p>
      <w:r>
        <w:t xml:space="preserve">Negative Marks: 0.33</w:t>
      </w:r>
    </w:p>
    <w:p/>
    <w:p>
      <w:r>
        <w:rPr>
          <w:b/>
        </w:rPr>
        <w:t xml:space="preserve">Question: Which of the following complications is characteristically associated with prolonged hyperglycemia in diabetes mellitus due to non-enzymatic glycosylation?</w:t>
      </w:r>
    </w:p>
    <w:p>
      <w:r>
        <w:t xml:space="preserve">(a) Acute coronary syndrome</w:t>
      </w:r>
    </w:p>
    <w:p>
      <w:r>
        <w:t xml:space="preserve">(b) Diabetic retinopathy</w:t>
      </w:r>
    </w:p>
    <w:p>
      <w:r>
        <w:t xml:space="preserve">(c) Acute hypoglycemic episodes</w:t>
      </w:r>
    </w:p>
    <w:p>
      <w:r>
        <w:t xml:space="preserve">(d) Paralytic ileus</w:t>
      </w:r>
    </w:p>
    <w:p>
      <w:r>
        <w:t xml:space="preserve">Answer: b</w:t>
      </w:r>
    </w:p>
    <w:p>
      <w:r>
        <w:t xml:space="preserve">Solution: Diabetic retinopathy results from non-enzymatic glycosylation of retinal proteins causing microangiopathy and basement membrane thickening. This is a classic microvascular complication from chronic hyperglycemia. Option a (ACS) is macrovascular but not directly from glycosylation. Option c (hypoglycemia) is acute, not chronic. Option d (ileus) is not a classic complication. Key mechanism: Hyperglycemia → Glycosylation → Tissue damage (retina, kidney, nerve).</w:t>
      </w:r>
    </w:p>
    <w:p>
      <w:r>
        <w:t xml:space="preserve">Positive Marks: 1</w:t>
      </w:r>
    </w:p>
    <w:p>
      <w:r>
        <w:t xml:space="preserve">Negative Marks: 0.33</w:t>
      </w:r>
    </w:p>
    <w:p/>
    <w:p>
      <w:r>
        <w:rPr>
          <w:b/>
        </w:rPr>
        <w:t xml:space="preserve">Question: HbA1c (glycosylated hemoglobin) reflects blood glucose control over which period?</w:t>
      </w:r>
    </w:p>
    <w:p>
      <w:r>
        <w:t xml:space="preserve">(a) 2-3 weeks</w:t>
      </w:r>
    </w:p>
    <w:p>
      <w:r>
        <w:t xml:space="preserve">(b) 4-6 weeks</w:t>
      </w:r>
    </w:p>
    <w:p>
      <w:r>
        <w:t xml:space="preserve">(c) 8-12 weeks</w:t>
      </w:r>
    </w:p>
    <w:p>
      <w:r>
        <w:t xml:space="preserve">(d) 3-6 months</w:t>
      </w:r>
    </w:p>
    <w:p>
      <w:r>
        <w:t xml:space="preserve">Answer: d</w:t>
      </w:r>
    </w:p>
    <w:p>
      <w:r>
        <w:t xml:space="preserve">Solution: HbA1c reflects average blood glucose over the previous 2-3 months (60-90 days) as it measures glucose attached to hemoglobin during RBC lifespan. Option a (2-3 weeks) reflects fasting glucose. Option b (4-6 weeks) is too short. Option c (8-12 weeks) is closer but the standard reference is 3 months. Clinical use: HbA1c every 3 months to assess glycemic control trends.</w:t>
      </w:r>
    </w:p>
    <w:p>
      <w:r>
        <w:t xml:space="preserve">Positive Marks: 1</w:t>
      </w:r>
    </w:p>
    <w:p>
      <w:r>
        <w:t xml:space="preserve">Negative Marks: 0.33</w:t>
      </w:r>
    </w:p>
    <w:p/>
    <w:p>
      <w:r>
        <w:rPr>
          <w:b/>
        </w:rPr>
        <w:t xml:space="preserve">Question: A newly diagnosed Type 2 diabetic patient asks about the role of regular exercise in diabetes management. Which of the following correctly describes the benefit?</w:t>
      </w:r>
    </w:p>
    <w:p>
      <w:r>
        <w:t xml:space="preserve">(a) Exercise increases hepatic glucose production and insulin requirements</w:t>
      </w:r>
    </w:p>
    <w:p>
      <w:r>
        <w:t xml:space="preserve">(b) Exercise increases peripheral glucose uptake by muscles independent of insulin</w:t>
      </w:r>
    </w:p>
    <w:p>
      <w:r>
        <w:t xml:space="preserve">(c) Exercise primarily increases insulin secretion from pancreas</w:t>
      </w:r>
    </w:p>
    <w:p>
      <w:r>
        <w:t xml:space="preserve">(d) Exercise reduces total body water and decreases blood glucose</w:t>
      </w:r>
    </w:p>
    <w:p>
      <w:r>
        <w:t xml:space="preserve">Answer: b</w:t>
      </w:r>
    </w:p>
    <w:p>
      <w:r>
        <w:t xml:space="preserve">Solution: Regular exercise increases glucose uptake by working muscles through insulin-independent mechanisms (AMPK activation, muscle contraction-mediated translocation of GLUT4). Option a is incorrect; exercise reduces hyperglycemia. Option c oversimplifies the mechanism. Option d is not the primary mechanism. Exercise benefit: Improves insulin sensitivity, aids weight loss, reduces cardiovascular risk.</w:t>
      </w:r>
    </w:p>
    <w:p>
      <w:r>
        <w:t xml:space="preserve">Positive Marks: 1</w:t>
      </w:r>
    </w:p>
    <w:p>
      <w:r>
        <w:t xml:space="preserve">Negative Marks: 0.33</w:t>
      </w:r>
    </w:p>
    <w:p/>
    <w:p>
      <w:r>
        <w:rPr>
          <w:b/>
        </w:rPr>
        <w:t xml:space="preserve">Question: Which of the following clinical findings is most characteristic of diabetic ketoacidosis (DKA) in presentation?</w:t>
      </w:r>
    </w:p>
    <w:p>
      <w:r>
        <w:t xml:space="preserve">(a) Slow onset with gradual deterioration over 24-48 hours</w:t>
      </w:r>
    </w:p>
    <w:p>
      <w:r>
        <w:t xml:space="preserve">(b) Hypertension and decreased urinary output</w:t>
      </w:r>
    </w:p>
    <w:p>
      <w:r>
        <w:t xml:space="preserve">(c) Rapid onset with Kussmaul respiration and fruity-smelling breath</w:t>
      </w:r>
    </w:p>
    <w:p>
      <w:r>
        <w:t xml:space="preserve">(d) Hyperthermia and severe constipation</w:t>
      </w:r>
    </w:p>
    <w:p>
      <w:r>
        <w:t xml:space="preserve">Answer: c</w:t>
      </w:r>
    </w:p>
    <w:p>
      <w:r>
        <w:t xml:space="preserve">Solution: DKA presents with rapid onset of Kussmaul respiration (deep, rapid breathing from metabolic acidosis) and fruity acetone-smelling breath from ketones. Option a describes HHS which has slower onset. Option b describes different complications. Option d is not characteristic. DKA hallmark triad: Hyperglycemia + Metabolic acidosis + Ketonemia with Kussmaul respiration.</w:t>
      </w:r>
    </w:p>
    <w:p>
      <w:r>
        <w:t xml:space="preserve">Positive Marks: 1</w:t>
      </w:r>
    </w:p>
    <w:p>
      <w:r>
        <w:t xml:space="preserve">Negative Marks: 0.33</w:t>
      </w:r>
    </w:p>
    <w:p/>
    <w:p>
      <w:r>
        <w:rPr>
          <w:b/>
        </w:rPr>
        <w:t xml:space="preserve">Question: A diabetic patient on insulin therapy should rotate injection sites to prevent which complication?</w:t>
      </w:r>
    </w:p>
    <w:p>
      <w:r>
        <w:t xml:space="preserve">(a) Diabetic retinopathy</w:t>
      </w:r>
    </w:p>
    <w:p>
      <w:r>
        <w:t xml:space="preserve">(b) Lipohypertrophy or lipoatrophy</w:t>
      </w:r>
    </w:p>
    <w:p>
      <w:r>
        <w:t xml:space="preserve">(c) Acute hypoglycemia</w:t>
      </w:r>
    </w:p>
    <w:p>
      <w:r>
        <w:t xml:space="preserve">(d) Diabetic nephropathy</w:t>
      </w:r>
    </w:p>
    <w:p>
      <w:r>
        <w:t xml:space="preserve">Answer: b</w:t>
      </w:r>
    </w:p>
    <w:p>
      <w:r>
        <w:t xml:space="preserve">Solution: Repeated insulin injections at the same site cause lipohypertrophy (fat tissue hypertrophy) or lipoatrophy (fat tissue atrophy), affecting insulin absorption. Site rotation prevents this local complication. Option a (retinopathy) is unrelated to injection technique. Option c (hypoglycemia) is unrelated to site rotation. Option d (nephropathy) is a chronic complication. Injection safety: Rotate sites systematically to prevent lipodystrophy.</w:t>
      </w:r>
    </w:p>
    <w:p>
      <w:r>
        <w:t xml:space="preserve">Positive Marks: 1</w:t>
      </w:r>
    </w:p>
    <w:p>
      <w:r>
        <w:t xml:space="preserve">Negative Marks: 0.33</w:t>
      </w:r>
    </w:p>
    <w:p/>
    <w:p>
      <w:r>
        <w:rPr>
          <w:b/>
        </w:rPr>
        <w:t xml:space="preserve">Question: Which of the following represents the most appropriate therapeutic goal for fasting blood glucose in a non-pregnant adult with diabetes mellitus according to current guidelines?</w:t>
      </w:r>
    </w:p>
    <w:p>
      <w:r>
        <w:t xml:space="preserve">(a) 80-100 mg/dL</w:t>
      </w:r>
    </w:p>
    <w:p>
      <w:r>
        <w:t xml:space="preserve">(b) 100-130 mg/dL</w:t>
      </w:r>
    </w:p>
    <w:p>
      <w:r>
        <w:t xml:space="preserve">(c) 130-160 mg/dL</w:t>
      </w:r>
    </w:p>
    <w:p>
      <w:r>
        <w:t xml:space="preserve">(d) 160-200 mg/dL</w:t>
      </w:r>
    </w:p>
    <w:p>
      <w:r>
        <w:t xml:space="preserve">Answer: b</w:t>
      </w:r>
    </w:p>
    <w:p>
      <w:r>
        <w:t xml:space="preserve">Solution: Current ADA/INC guidelines recommend fasting blood glucose target of 100-130 mg/dL for most non-pregnant adults with diabetes to balance glycemic control with hypoglycemia risk. Option a (80-100 mg/dL) is too stringent and risks hypoglycemia. Option c and d are above target ranges. Individualization note: Stricter targets for younger patients without complications; relaxed targets for elderly or those with frequent hypoglycemia.</w:t>
      </w:r>
    </w:p>
    <w:p>
      <w:r>
        <w:t xml:space="preserve">Positive Marks: 1</w:t>
      </w:r>
    </w:p>
    <w:p>
      <w:r>
        <w:t xml:space="preserve">Negative Marks: 0.33</w:t>
      </w:r>
    </w:p>
    <w:p/>
    <w:p>
      <w:r>
        <w:rPr>
          <w:b/>
        </w:rPr>
        <w:t xml:space="preserve">Question: A patient presents with severe hyperglycemia (&gt;600 mg/dL), hyperosmolarity, minimal ketosis, and altered mental status. Which acute complication is most likely?</w:t>
      </w:r>
    </w:p>
    <w:p>
      <w:r>
        <w:t xml:space="preserve">(a) Diabetic ketoacidosis</w:t>
      </w:r>
    </w:p>
    <w:p>
      <w:r>
        <w:t xml:space="preserve">(b) Hyperosmolar hyperglycemic state (HHS)</w:t>
      </w:r>
    </w:p>
    <w:p>
      <w:r>
        <w:t xml:space="preserve">(c) Lactic acidosis</w:t>
      </w:r>
    </w:p>
    <w:p>
      <w:r>
        <w:t xml:space="preserve">(d) Acute hypoglycemia</w:t>
      </w:r>
    </w:p>
    <w:p>
      <w:r>
        <w:t xml:space="preserve">Answer: b</w:t>
      </w:r>
    </w:p>
    <w:p>
      <w:r>
        <w:t xml:space="preserve">Solution: HHS presents with extreme hyperglycemia (&gt;600 mg/dL), hyperosmolarity, minimal or absent ketonemia, and altered mental status—typically in Type 2 patients. Option a (DKA) involves significant ketonemia and acidosis. Option c involves lactic acid accumulation. Option d presents with low glucose. HHS vs DKA: HHS has higher glucose, less acidosis; DKA has lower glucose, severe acidosis with Kussmaul respiration.</w:t>
      </w:r>
    </w:p>
    <w:p>
      <w:r>
        <w:t xml:space="preserve">Positive Marks: 1</w:t>
      </w:r>
    </w:p>
    <w:p>
      <w:r>
        <w:t xml:space="preserve">Negative Marks: 0.33</w:t>
      </w:r>
    </w:p>
    <w:p/>
    <w:p>
      <w:r>
        <w:rPr>
          <w:b/>
        </w:rPr>
        <w:t xml:space="preserve">Question: Which drug interaction requires careful monitoring when metformin is used concurrently in diabetic patients?</w:t>
      </w:r>
    </w:p>
    <w:p>
      <w:r>
        <w:t xml:space="preserve">(a) Concurrent use with vitamin B12 supplementation eliminates any absorption issues</w:t>
      </w:r>
    </w:p>
    <w:p>
      <w:r>
        <w:t xml:space="preserve">(b) ACE inhibitors increase metformin's hypoglycemic effect requiring dose reduction</w:t>
      </w:r>
    </w:p>
    <w:p>
      <w:r>
        <w:t xml:space="preserve">(c) Contrast media use increases risk of metformin-associated lactic acidosis; metformin should be held</w:t>
      </w:r>
    </w:p>
    <w:p>
      <w:r>
        <w:t xml:space="preserve">(d) Sulfonylureas decrease metformin efficacy requiring dose increase</w:t>
      </w:r>
    </w:p>
    <w:p>
      <w:r>
        <w:t xml:space="preserve">Answer: c</w:t>
      </w:r>
    </w:p>
    <w:p>
      <w:r>
        <w:t xml:space="preserve">Solution: Iodinated contrast media impairs renal function, increasing risk of metformin accumulation and lactic acidosis. Metformin should be held before contrast procedures and restarted 48 hours after if renal function is normal. Option a is incorrect; B12 supplementation is needed to prevent deficiency. Option b is partially true but doesn't describe the critical interaction. Option d is not a significant interaction. Critical alert: Metformin + Contrast = Hold metformin protocol.</w:t>
      </w:r>
    </w:p>
    <w:p>
      <w:r>
        <w:t xml:space="preserve">Positive Marks: 1</w:t>
      </w:r>
    </w:p>
    <w:p>
      <w:r>
        <w:t xml:space="preserve">Negative Marks: 0.33</w:t>
      </w:r>
    </w:p>
    <w:p/>
    <w:p>
      <w:r>
        <w:rPr>
          <w:b/>
        </w:rPr>
        <w:t xml:space="preserve">Question: A type 1 diabetic patient on insulin develops resistance to insulin therapy with increasing insulin requirements over weeks. Which of the following is the most likely cause?</w:t>
      </w:r>
    </w:p>
    <w:p>
      <w:r>
        <w:t xml:space="preserve">(a) Development of insulin antibodies causing insulin resistance</w:t>
      </w:r>
    </w:p>
    <w:p>
      <w:r>
        <w:t xml:space="preserve">(b) Progression of beta cell destruction requiring higher doses</w:t>
      </w:r>
    </w:p>
    <w:p>
      <w:r>
        <w:t xml:space="preserve">(c) Poor injection technique causing repeated lipohypertrophy at injection sites with reduced absorption</w:t>
      </w:r>
    </w:p>
    <w:p>
      <w:r>
        <w:t xml:space="preserve">(d) Concurrent corticosteroid use increasing insulin antagonism</w:t>
      </w:r>
    </w:p>
    <w:p>
      <w:r>
        <w:t xml:space="preserve">Answer: c</w:t>
      </w:r>
    </w:p>
    <w:p>
      <w:r>
        <w:t xml:space="preserve">Solution: Lipohypertrophy from repeated injection at the same site reduces insulin absorption, requiring escalating doses. This is often overlooked but the most common preventable cause of apparent insulin resistance. Option a (antibodies) is rare with modern insulins. Option b occurs at diagnosis but not progressively. Option d is valid but not described in this scenario. Prevention strategy: Site rotation and proper injection technique education.</w:t>
      </w:r>
    </w:p>
    <w:p>
      <w:r>
        <w:t xml:space="preserve">Positive Marks: 1</w:t>
      </w:r>
    </w:p>
    <w:p>
      <w:r>
        <w:t xml:space="preserve">Negative Marks: 0.33</w:t>
      </w:r>
    </w:p>
    <w:p/>
    <w:p>
      <w:r>
        <w:rPr>
          <w:b/>
        </w:rPr>
        <w:t xml:space="preserve">Question: According to nursing management principles in diabetes mellitus, which patient education point is most critical for preventing diabetic complications?</w:t>
      </w:r>
    </w:p>
    <w:p>
      <w:r>
        <w:t xml:space="preserve">(a) Teaching patients to recognize hypoglycemic symptoms only</w:t>
      </w:r>
    </w:p>
    <w:p>
      <w:r>
        <w:t xml:space="preserve">(b) Emphasizing strict dietary restrictions with zero sugar consumption</w:t>
      </w:r>
    </w:p>
    <w:p>
      <w:r>
        <w:t xml:space="preserve">(c) Regular blood glucose monitoring and maintaining glycemic control to target levels</w:t>
      </w:r>
    </w:p>
    <w:p>
      <w:r>
        <w:t xml:space="preserve">(d) Avoiding all forms of physical activity to prevent hypoglycemia episodes</w:t>
      </w:r>
    </w:p>
    <w:p>
      <w:r>
        <w:t xml:space="preserve">Answer: c</w:t>
      </w:r>
    </w:p>
    <w:p>
      <w:r>
        <w:t xml:space="preserve">Solution: Regular blood glucose monitoring and maintaining glycemic control are the cornerstone of diabetes management to prevent both acute and chronic complications. Option a is incomplete; hyperglycemia recognition is equally important. Option b is too extreme; diabetic diet allows calculated carbohydrates. Option d contradicts exercise benefits. Gold standard education: SMBG (Self-Monitoring Blood Glucose) + Target glycemic control + Lifestyle modifications + Medication adherence.</w:t>
      </w:r>
    </w:p>
    <w:p>
      <w:r>
        <w:t xml:space="preserve">Positive Marks: 1</w:t>
      </w:r>
    </w:p>
    <w:p>
      <w:r>
        <w:t xml:space="preserve">Negative Marks: 0.33</w:t>
      </w:r>
    </w:p>
    <w:sectPr>
      <w:pgSz w:w="11906" w:h="16838"/>
      <w:pgMar w:top="1134" w:right="1134" w:bottom="1134" w:left="1134"/>
    </w:sectPr>
  </w:body>
</w:document>
</file>