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Myasthenia gravis is primarily characterized by which pathophysiological mechanism?</w:t>
      </w:r>
    </w:p>
    <w:p>
      <w:r>
        <w:t xml:space="preserve">(a) Autoimmune destruction of acetylcholine receptors at neuromuscular junction</w:t>
      </w:r>
    </w:p>
    <w:p>
      <w:r>
        <w:t xml:space="preserve">(b) Viral infection causing inflammation of motor neurons</w:t>
      </w:r>
    </w:p>
    <w:p>
      <w:r>
        <w:t xml:space="preserve">(c) Genetic mutation affecting muscle protein synthesis</w:t>
      </w:r>
    </w:p>
    <w:p>
      <w:r>
        <w:t xml:space="preserve">(d) Metabolic disorder reducing ATP production in muscles</w:t>
      </w:r>
    </w:p>
    <w:p>
      <w:r>
        <w:t xml:space="preserve">Answer: a</w:t>
      </w:r>
    </w:p>
    <w:p>
      <w:r>
        <w:t xml:space="preserve">Solution: Myasthenia gravis is an autoimmune disorder where antibodies attack nicotinic acetylcholine receptors (AChR) at the neuromuscular junction, leading to their destruction and reducing available receptors for acetylcholine binding. Option b refers to poliomyelitis/motor neuron diseases; option c occurs in muscular dystrophies; option d occurs in mitochondrial myopathies. MG is specifically immune-mediated destruction of AChR. Key concept: Anti-AChR antibodies are present in 80-90% of generalized MG cases.</w:t>
      </w:r>
    </w:p>
    <w:p>
      <w:r>
        <w:t xml:space="preserve">Positive Marks: 1</w:t>
      </w:r>
    </w:p>
    <w:p>
      <w:r>
        <w:t xml:space="preserve">Negative Marks: 0.33</w:t>
      </w:r>
    </w:p>
    <w:p/>
    <w:p>
      <w:r>
        <w:rPr>
          <w:b/>
        </w:rPr>
        <w:t xml:space="preserve">Question: Which clinical manifestation is the most common initial presentation of myasthenia gravis?</w:t>
      </w:r>
    </w:p>
    <w:p>
      <w:r>
        <w:t xml:space="preserve">(a) Muscle weakness of lower limbs progressing upward</w:t>
      </w:r>
    </w:p>
    <w:p>
      <w:r>
        <w:t xml:space="preserve">(b) Ptosis and diplopia with ocular muscle weakness</w:t>
      </w:r>
    </w:p>
    <w:p>
      <w:r>
        <w:t xml:space="preserve">(c) Bulbar weakness with dysphagia</w:t>
      </w:r>
    </w:p>
    <w:p>
      <w:r>
        <w:t xml:space="preserve">(d) Respiratory muscle paralysis requiring ventilation</w:t>
      </w:r>
    </w:p>
    <w:p>
      <w:r>
        <w:t xml:space="preserve">Answer: b</w:t>
      </w:r>
    </w:p>
    <w:p>
      <w:r>
        <w:t xml:space="preserve">Solution: Ocular manifestations (ptosis and diplopia) are the initial symptoms in 50% of MG patients. These occur due to weakness of extraocular muscles and levator palpebrae superioris. Option a describes Guillain-Barré syndrome; options c and d occur but usually later in disease progression. Ocular MG remains localized in 16% of patients but progresses to generalized form in most within 2-3 years.</w:t>
      </w:r>
    </w:p>
    <w:p>
      <w:r>
        <w:t xml:space="preserve">Positive Marks: 1</w:t>
      </w:r>
    </w:p>
    <w:p>
      <w:r>
        <w:t xml:space="preserve">Negative Marks: 0.33</w:t>
      </w:r>
    </w:p>
    <w:p/>
    <w:p>
      <w:r>
        <w:rPr>
          <w:b/>
        </w:rPr>
        <w:t xml:space="preserve">Question: Which diagnostic test involves administration of a short-acting anticholinesterase to confirm myasthenia gravis?</w:t>
      </w:r>
    </w:p>
    <w:p>
      <w:r>
        <w:t xml:space="preserve">(a) Edrophonium (Tensilon) test</w:t>
      </w:r>
    </w:p>
    <w:p>
      <w:r>
        <w:t xml:space="preserve">(b) Repetitive nerve stimulation test</w:t>
      </w:r>
    </w:p>
    <w:p>
      <w:r>
        <w:t xml:space="preserve">(c) Single fiber electromyography</w:t>
      </w:r>
    </w:p>
    <w:p>
      <w:r>
        <w:t xml:space="preserve">(d) Serum acetylcholine receptor antibody test</w:t>
      </w:r>
    </w:p>
    <w:p>
      <w:r>
        <w:t xml:space="preserve">Answer: a</w:t>
      </w:r>
    </w:p>
    <w:p>
      <w:r>
        <w:t xml:space="preserve">Solution: The Edrophonium test (Tensilon test) is a bedside diagnostic test using a short-acting anticholinesterase inhibitor. Within 5-10 seconds, it causes dramatic improvement in muscle strength if MG is present. Option b shows decremental response but is not diagnostic alone; option c is confirmatory but time-consuming; option d is specific but negative in 20% of generalized MG (seronegative MG). Note: Ice pack test is now preferred due to safety concerns with edrophonium.</w:t>
      </w:r>
    </w:p>
    <w:p>
      <w:r>
        <w:t xml:space="preserve">Positive Marks: 1</w:t>
      </w:r>
    </w:p>
    <w:p>
      <w:r>
        <w:t xml:space="preserve">Negative Marks: 0.33</w:t>
      </w:r>
    </w:p>
    <w:p/>
    <w:p>
      <w:r>
        <w:rPr>
          <w:b/>
        </w:rPr>
        <w:t xml:space="preserve">Question: Which medication is typically the first-line pharmacological agent for symptomatic treatment of myasthenia gravis?</w:t>
      </w:r>
    </w:p>
    <w:p>
      <w:r>
        <w:t xml:space="preserve">(a) Pyridostigmine bromide</w:t>
      </w:r>
    </w:p>
    <w:p>
      <w:r>
        <w:t xml:space="preserve">(b) Azathioprine</w:t>
      </w:r>
    </w:p>
    <w:p>
      <w:r>
        <w:t xml:space="preserve">(c) Prednisolone</w:t>
      </w:r>
    </w:p>
    <w:p>
      <w:r>
        <w:t xml:space="preserve">(d) Mycophenolate mofetil</w:t>
      </w:r>
    </w:p>
    <w:p>
      <w:r>
        <w:t xml:space="preserve">Answer: a</w:t>
      </w:r>
    </w:p>
    <w:p>
      <w:r>
        <w:t xml:space="preserve">Solution: Pyridostigmine (Mestinon) is a long-acting anticholinesterase inhibitor and is the first-line symptomatic treatment for MG. It increases available acetylcholine by inhibiting its breakdown, allowing existing receptors to be stimulated more effectively. Options b and d are immunosuppressants used in seronegative or steroid-resistant cases; option c is for acute exacerbations or as second-line agent. Pyridostigmine provides symptomatic relief but does not halt disease progression. Dosing: 60 mg 3-4 times daily; peak effect at 30-60 minutes.</w:t>
      </w:r>
    </w:p>
    <w:p>
      <w:r>
        <w:t xml:space="preserve">Positive Marks: 1</w:t>
      </w:r>
    </w:p>
    <w:p>
      <w:r>
        <w:t xml:space="preserve">Negative Marks: 0.33</w:t>
      </w:r>
    </w:p>
    <w:p/>
    <w:p>
      <w:r>
        <w:rPr>
          <w:b/>
        </w:rPr>
        <w:t xml:space="preserve">Question: A 35-year-old female with myasthenia gravis reports that her weakness is worse in the evening and improves after rest. This pattern is most consistent with which characteristic feature of MG?</w:t>
      </w:r>
    </w:p>
    <w:p>
      <w:r>
        <w:t xml:space="preserve">(a) Fatigue-induced decremental muscle response</w:t>
      </w:r>
    </w:p>
    <w:p>
      <w:r>
        <w:t xml:space="preserve">(b) Circadian variation in antibody levels</w:t>
      </w:r>
    </w:p>
    <w:p>
      <w:r>
        <w:t xml:space="preserve">(c) Progressive myelin degeneration throughout the day</w:t>
      </w:r>
    </w:p>
    <w:p>
      <w:r>
        <w:t xml:space="preserve">(d) Periodic paralysis triggered by acetylcholine accumulation</w:t>
      </w:r>
    </w:p>
    <w:p>
      <w:r>
        <w:t xml:space="preserve">Answer: a</w:t>
      </w:r>
    </w:p>
    <w:p>
      <w:r>
        <w:t xml:space="preserve">Solution: The classic feature of MG is that weakness worsens with activity/fatigue and improves with rest. This occurs because repeated neuromuscular transmission leads to depletion of acetylcholine reserves, worsening the already reduced receptor availability. After rest, acetylcholine is replenished. This fatigue pattern is pathognomonic for MG. Option b may explain some systemic symptoms but not this pattern; option c occurs in demyelinating diseases; option d is seen in periodic paralysis. The decremental response during repetitive stimulation reflects this same mechanism.</w:t>
      </w:r>
    </w:p>
    <w:p>
      <w:r>
        <w:t xml:space="preserve">Positive Marks: 1</w:t>
      </w:r>
    </w:p>
    <w:p>
      <w:r>
        <w:t xml:space="preserve">Negative Marks: 0.33</w:t>
      </w:r>
    </w:p>
    <w:p/>
    <w:p>
      <w:r>
        <w:rPr>
          <w:b/>
        </w:rPr>
        <w:t xml:space="preserve">Question: In a patient with suspected myasthenia gravis, the ice pack test is positive. What does this test demonstrate?</w:t>
      </w:r>
    </w:p>
    <w:p>
      <w:r>
        <w:t xml:space="preserve">(a) Presence of anti-acetylcholine receptor antibodies</w:t>
      </w:r>
    </w:p>
    <w:p>
      <w:r>
        <w:t xml:space="preserve">(b) Temporary improvement in muscle weakness when ice is applied to affected muscle</w:t>
      </w:r>
    </w:p>
    <w:p>
      <w:r>
        <w:t xml:space="preserve">(c) Decreased compound muscle action potential on repetitive stimulation</w:t>
      </w:r>
    </w:p>
    <w:p>
      <w:r>
        <w:t xml:space="preserve">(d) Abnormal neuromuscular transmission on single fiber EMG</w:t>
      </w:r>
    </w:p>
    <w:p>
      <w:r>
        <w:t xml:space="preserve">Answer: b</w:t>
      </w:r>
    </w:p>
    <w:p>
      <w:r>
        <w:t xml:space="preserve">Solution: The ice pack test is a simple, non-invasive bedside diagnostic test where ice is applied to affected muscle (usually eyelid for ocular MG) for 2-3 minutes, resulting in temporary improvement of weakness. Cold temporarily restores neuromuscular transmission, making it positive in 90% of ocular MG cases. This is now preferred over edrophonium due to safety. Option a is detected by antibody serology; option c is RNS finding; option d is SFEMG finding. The ice pack test is highly suggestive when combined with clinical features.</w:t>
      </w:r>
    </w:p>
    <w:p>
      <w:r>
        <w:t xml:space="preserve">Positive Marks: 1</w:t>
      </w:r>
    </w:p>
    <w:p>
      <w:r>
        <w:t xml:space="preserve">Negative Marks: 0.33</w:t>
      </w:r>
    </w:p>
    <w:p/>
    <w:p>
      <w:r>
        <w:rPr>
          <w:b/>
        </w:rPr>
        <w:t xml:space="preserve">Question: Anticholinesterase drugs like neostigmine work in myasthenia gravis by which mechanism?</w:t>
      </w:r>
    </w:p>
    <w:p>
      <w:r>
        <w:t xml:space="preserve">(a) Reducing antibody production against acetylcholine receptors</w:t>
      </w:r>
    </w:p>
    <w:p>
      <w:r>
        <w:t xml:space="preserve">(b) Preventing the breakdown of acetylcholine in the synaptic cleft</w:t>
      </w:r>
    </w:p>
    <w:p>
      <w:r>
        <w:t xml:space="preserve">(c) Increasing acetylcholine synthesis in motor nerve terminals</w:t>
      </w:r>
    </w:p>
    <w:p>
      <w:r>
        <w:t xml:space="preserve">(d) Blocking complement-mediated destruction of neuromuscular junction</w:t>
      </w:r>
    </w:p>
    <w:p>
      <w:r>
        <w:t xml:space="preserve">Answer: b</w:t>
      </w:r>
    </w:p>
    <w:p>
      <w:r>
        <w:t xml:space="preserve">Solution: Anticholinesterases inhibit acetylcholinesterase enzyme, which normally breaks down acetylcholine. By reducing its degradation, acetylcholine concentration increases and persists longer in the synaptic cleft, allowing better activation of remaining AChR despite their reduced number. This is symptomatic treatment, not curative. Options a, c, and d are mechanisms of immunosuppressive therapies, not anticholinesterases. Neostigmine has rapid onset (15 min IM) but shorter duration; pyridostigmine has slower onset but longer duration (3-4 hours).</w:t>
      </w:r>
    </w:p>
    <w:p>
      <w:r>
        <w:t xml:space="preserve">Positive Marks: 1</w:t>
      </w:r>
    </w:p>
    <w:p>
      <w:r>
        <w:t xml:space="preserve">Negative Marks: 0.33</w:t>
      </w:r>
    </w:p>
    <w:p/>
    <w:p>
      <w:r>
        <w:rPr>
          <w:b/>
        </w:rPr>
        <w:t xml:space="preserve">Question: Which statement about the association between myasthenia gravis and thymoma is most accurate?</w:t>
      </w:r>
    </w:p>
    <w:p>
      <w:r>
        <w:t xml:space="preserve">(a) Thymoma is present in 15% of MG patients and requires surgical resection</w:t>
      </w:r>
    </w:p>
    <w:p>
      <w:r>
        <w:t xml:space="preserve">(b) Thymoma is present in 30-50% of MG patients; thymectomy may improve MG symptoms</w:t>
      </w:r>
    </w:p>
    <w:p>
      <w:r>
        <w:t xml:space="preserve">(c) Thymoma is a mandatory finding in all MG patients diagnosed after age 40</w:t>
      </w:r>
    </w:p>
    <w:p>
      <w:r>
        <w:t xml:space="preserve">(d) Thymoma invariably causes myasthenic crisis and poor prognosis</w:t>
      </w:r>
    </w:p>
    <w:p>
      <w:r>
        <w:t xml:space="preserve">Answer: b</w:t>
      </w:r>
    </w:p>
    <w:p>
      <w:r>
        <w:t xml:space="preserve">Solution: 30-50% of MG patients have thymic abnormalities (thymoma in ~10%, thymic hyperplasia in others). Thymectomy may lead to remission or improvement in 30-50% of MG patients, though benefits take time. Thymoma should be evaluated by CT chest in all MG patients, especially those presenting before age 40. Option a underestimates frequency; option c is incorrect; option d is false. The thymus produces antibodies against AChR, making its removal potentially beneficial.</w:t>
      </w:r>
    </w:p>
    <w:p>
      <w:r>
        <w:t xml:space="preserve">Positive Marks: 1</w:t>
      </w:r>
    </w:p>
    <w:p>
      <w:r>
        <w:t xml:space="preserve">Negative Marks: 0.33</w:t>
      </w:r>
    </w:p>
    <w:p/>
    <w:p>
      <w:r>
        <w:rPr>
          <w:b/>
        </w:rPr>
        <w:t xml:space="preserve">Question: A patient with generalized myasthenia gravis is started on immunosuppressive therapy. The primary goal of immunosuppression in MG is to:</w:t>
      </w:r>
    </w:p>
    <w:p>
      <w:r>
        <w:t xml:space="preserve">(a) Increase acetylcholine levels at the neuromuscular junction</w:t>
      </w:r>
    </w:p>
    <w:p>
      <w:r>
        <w:t xml:space="preserve">(b) Reduce antibody production against acetylcholine receptors</w:t>
      </w:r>
    </w:p>
    <w:p>
      <w:r>
        <w:t xml:space="preserve">(c) Prevent myasthenic crisis by supporting respiratory muscles</w:t>
      </w:r>
    </w:p>
    <w:p>
      <w:r>
        <w:t xml:space="preserve">(d) Enhance the activity of acetylcholinesterase enzyme</w:t>
      </w:r>
    </w:p>
    <w:p>
      <w:r>
        <w:t xml:space="preserve">Answer: b</w:t>
      </w:r>
    </w:p>
    <w:p>
      <w:r>
        <w:t xml:space="preserve">Solution: Immunosuppressive agents (corticosteroids, azathioprine, mycophenolate) aim to reduce the autoimmune response by decreasing antibody production against AChR. These are disease-modifying agents used in moderate-to-severe or seronegative MG. Option a is mechanism of anticholinesterases; option c is goal of plasma exchange or IVIG in crisis; option d is mechanism of anticholinesterases. Prednisolone is often first immunosuppressive choice. Azathioprine effects take 3-6 months to manifest.</w:t>
      </w:r>
    </w:p>
    <w:p>
      <w:r>
        <w:t xml:space="preserve">Positive Marks: 1</w:t>
      </w:r>
    </w:p>
    <w:p>
      <w:r>
        <w:t xml:space="preserve">Negative Marks: 0.33</w:t>
      </w:r>
    </w:p>
    <w:p/>
    <w:p>
      <w:r>
        <w:rPr>
          <w:b/>
        </w:rPr>
        <w:t xml:space="preserve">Question: A patient with myasthenia gravis is experiencing acute myasthenic crisis with respiratory weakness. Which nursing intervention should be given HIGHEST priority?</w:t>
      </w:r>
    </w:p>
    <w:p>
      <w:r>
        <w:t xml:space="preserve">(a) Administering pyridostigmine through nasogastric tube to reverse the crisis</w:t>
      </w:r>
    </w:p>
    <w:p>
      <w:r>
        <w:t xml:space="preserve">(b) Ensuring airway patency and preparing for possible mechanical ventilation</w:t>
      </w:r>
    </w:p>
    <w:p>
      <w:r>
        <w:t xml:space="preserve">(c) Initiating corticosteroid therapy to suppress immune response</w:t>
      </w:r>
    </w:p>
    <w:p>
      <w:r>
        <w:t xml:space="preserve">(d) Performing active range of motion exercises to strengthen muscles</w:t>
      </w:r>
    </w:p>
    <w:p>
      <w:r>
        <w:t xml:space="preserve">Answer: b</w:t>
      </w:r>
    </w:p>
    <w:p>
      <w:r>
        <w:t xml:space="preserve">Solution: In myasthenic crisis, respiratory muscle paralysis is life-threatening. The immediate priority is airway management and preparation for mechanical ventilation if needed. This requires ICU care. Option a is inappropriate - anticholinesterases are not given during acute crisis; option c is done but not immediate priority; option d is contraindicated during crisis. Myasthenic crisis requires plasma exchange, IVIG, or combination therapy after airway is secured. Vital capacity monitoring is essential.</w:t>
      </w:r>
    </w:p>
    <w:p>
      <w:r>
        <w:t xml:space="preserve">Positive Marks: 1</w:t>
      </w:r>
    </w:p>
    <w:p>
      <w:r>
        <w:t xml:space="preserve">Negative Marks: 0.33</w:t>
      </w:r>
    </w:p>
    <w:p/>
    <w:p>
      <w:r>
        <w:rPr>
          <w:b/>
        </w:rPr>
        <w:t xml:space="preserve">Question: Which of the following factors is MOST likely to precipitate a myasthenic crisis in a patient with known MG?</w:t>
      </w:r>
    </w:p>
    <w:p>
      <w:r>
        <w:t xml:space="preserve">(a) Prolonged bed rest and immobilization</w:t>
      </w:r>
    </w:p>
    <w:p>
      <w:r>
        <w:t xml:space="preserve">(b) Respiratory tract infection or emotional stress combined with inadequate disease control</w:t>
      </w:r>
    </w:p>
    <w:p>
      <w:r>
        <w:t xml:space="preserve">(c) Excessive physical exercise and heat exposure</w:t>
      </w:r>
    </w:p>
    <w:p>
      <w:r>
        <w:t xml:space="preserve">(d) Dietary deficiency of potassium and magnesium</w:t>
      </w:r>
    </w:p>
    <w:p>
      <w:r>
        <w:t xml:space="preserve">Answer: b</w:t>
      </w:r>
    </w:p>
    <w:p>
      <w:r>
        <w:t xml:space="preserve">Solution: Common precipitants of myasthenic crisis include respiratory/urinary tract infections, emotional stress, inadequate MG management, and non-compliance with medications. These stress the compromised neuromuscular system. Options a, c, and d can worsen symptoms but are not primary precipitants of crisis. Infections trigger immune response; stress increases catecholamine sensitivity. Sudden drug withdrawal (especially corticosteroids) is a major precipitant.</w:t>
      </w:r>
    </w:p>
    <w:p>
      <w:r>
        <w:t xml:space="preserve">Positive Marks: 1</w:t>
      </w:r>
    </w:p>
    <w:p>
      <w:r>
        <w:t xml:space="preserve">Negative Marks: 0.33</w:t>
      </w:r>
    </w:p>
    <w:p/>
    <w:p>
      <w:r>
        <w:rPr>
          <w:b/>
        </w:rPr>
        <w:t xml:space="preserve">Question: A patient presents with asymmetrical ptosis that worsens toward evening and intermittent diplopia. This presentation is highly suggestive of myasthenia gravis primarily affecting which muscles?</w:t>
      </w:r>
    </w:p>
    <w:p>
      <w:r>
        <w:t xml:space="preserve">(a) Extraocular muscles and levator palpebrae superioris only</w:t>
      </w:r>
    </w:p>
    <w:p>
      <w:r>
        <w:t xml:space="preserve">(b) Levator palpebrae superioris, medial rectus, and superior rectus muscles</w:t>
      </w:r>
    </w:p>
    <w:p>
      <w:r>
        <w:t xml:space="preserve">(c) Extraocular muscles, levator palpebrae superioris, and orbicularis oculi</w:t>
      </w:r>
    </w:p>
    <w:p>
      <w:r>
        <w:t xml:space="preserve">(d) Superior oblique and inferior rectus muscles primarily</w:t>
      </w:r>
    </w:p>
    <w:p>
      <w:r>
        <w:t xml:space="preserve">Answer: c</w:t>
      </w:r>
    </w:p>
    <w:p>
      <w:r>
        <w:t xml:space="preserve">Solution: Ocular MG affects extraocular muscles (causing diplopia), levator palpebrae (causing ptosis), and orbicularis oculi (causing reduced eye closure). This combination causes classic fatigue-worsening ocular signs. Option a is incomplete; option b incorrectly specifies muscles; option d is incomplete. Importantly, pupillary responses remain normal in MG, distinguishing it from other causes of ptosis. Ocular MG progresses to generalized in 84% within 2-3 years.</w:t>
      </w:r>
    </w:p>
    <w:p>
      <w:r>
        <w:t xml:space="preserve">Positive Marks: 1</w:t>
      </w:r>
    </w:p>
    <w:p>
      <w:r>
        <w:t xml:space="preserve">Negative Marks: 0.33</w:t>
      </w:r>
    </w:p>
    <w:p/>
    <w:p>
      <w:r>
        <w:rPr>
          <w:b/>
        </w:rPr>
        <w:t xml:space="preserve">Question: A patient with myasthenia gravis undergoes repetitive nerve stimulation (RNS) testing. What finding is most characteristic of MG on RNS?</w:t>
      </w:r>
    </w:p>
    <w:p>
      <w:r>
        <w:t xml:space="preserve">(a) Polyphasic motor action potentials</w:t>
      </w:r>
    </w:p>
    <w:p>
      <w:r>
        <w:t xml:space="preserve">(b) Decremental response (progressive decline in amplitude) with repetitive stimulation</w:t>
      </w:r>
    </w:p>
    <w:p>
      <w:r>
        <w:t xml:space="preserve">(c) Prolonged distal latency and slowed conduction velocity</w:t>
      </w:r>
    </w:p>
    <w:p>
      <w:r>
        <w:t xml:space="preserve">(d) Fibrillations and positive sharp waves at rest</w:t>
      </w:r>
    </w:p>
    <w:p>
      <w:r>
        <w:t xml:space="preserve">Answer: b</w:t>
      </w:r>
    </w:p>
    <w:p>
      <w:r>
        <w:t xml:space="preserve">Solution: RNS shows a decremental response (≥10% decline in CMAP amplitude with repetitive stimulation at 2-3 Hz) in 60-70% of generalized MG and 10% of purely ocular MG. This reflects inadequate neuromuscular transmission due to reduced AChR. Option a occurs in myopathies; option c indicates demyelinating neuropathy; option d indicates denervation/myositis. After anticholinesterase administration, the decremental response reverses, confirming MG.</w:t>
      </w:r>
    </w:p>
    <w:p>
      <w:r>
        <w:t xml:space="preserve">Positive Marks: 1</w:t>
      </w:r>
    </w:p>
    <w:p>
      <w:r>
        <w:t xml:space="preserve">Negative Marks: 0.33</w:t>
      </w:r>
    </w:p>
    <w:p/>
    <w:p>
      <w:r>
        <w:rPr>
          <w:b/>
        </w:rPr>
        <w:t xml:space="preserve">Question: Which medication should be AVOIDED or used with extreme caution in patients with myasthenia gravis?</w:t>
      </w:r>
    </w:p>
    <w:p>
      <w:r>
        <w:t xml:space="preserve">(a) Penicillin and cephalosporins</w:t>
      </w:r>
    </w:p>
    <w:p>
      <w:r>
        <w:t xml:space="preserve">(b) Aminoglycosides and fluoroquinolones</w:t>
      </w:r>
    </w:p>
    <w:p>
      <w:r>
        <w:t xml:space="preserve">(c) NSAIDs and aspirin</w:t>
      </w:r>
    </w:p>
    <w:p>
      <w:r>
        <w:t xml:space="preserve">(d) Metoprolol and other beta-blockers</w:t>
      </w:r>
    </w:p>
    <w:p>
      <w:r>
        <w:t xml:space="preserve">Answer: b</w:t>
      </w:r>
    </w:p>
    <w:p>
      <w:r>
        <w:t xml:space="preserve">Solution: Aminoglycosides (gentamicin, streptomycin) and fluoroquinolones can block neuromuscular transmission and precipitate or worsen myasthenic crisis. Other problematic drugs include macrolides and tetracyclines. Aminoglycosides irreversibly bind to neuromuscular junction affecting transmission. Options a are generally safe; option c are safe; option d are relatively safe though may occasionally worsen symptoms. Penicillins and cephalosporins are preferred antibiotics in MG.</w:t>
      </w:r>
    </w:p>
    <w:p>
      <w:r>
        <w:t xml:space="preserve">Positive Marks: 1</w:t>
      </w:r>
    </w:p>
    <w:p>
      <w:r>
        <w:t xml:space="preserve">Negative Marks: 0.33</w:t>
      </w:r>
    </w:p>
    <w:p/>
    <w:p>
      <w:r>
        <w:rPr>
          <w:b/>
        </w:rPr>
        <w:t xml:space="preserve">Question: A patient with myasthenia gravis on neostigmine develops acute respiratory weakness. To differentiate between myasthenic crisis and cholinergic crisis, which clinical finding would favor cholinergic crisis?</w:t>
      </w:r>
    </w:p>
    <w:p>
      <w:r>
        <w:t xml:space="preserve">(a) Unresponsiveness to edrophonium and need for mechanical ventilation</w:t>
      </w:r>
    </w:p>
    <w:p>
      <w:r>
        <w:t xml:space="preserve">(b) Presence of muscle fasciculations, salivation, lacrimation, and miosis (muscarinic signs)</w:t>
      </w:r>
    </w:p>
    <w:p>
      <w:r>
        <w:t xml:space="preserve">(c) Recent infection or abrupt medication cessation without systemic symptoms</w:t>
      </w:r>
    </w:p>
    <w:p>
      <w:r>
        <w:t xml:space="preserve">(d) Ptosis, diplopia, and bulbar weakness without respiratory involvement</w:t>
      </w:r>
    </w:p>
    <w:p>
      <w:r>
        <w:t xml:space="preserve">Answer: b</w:t>
      </w:r>
    </w:p>
    <w:p>
      <w:r>
        <w:t xml:space="preserve">Solution: Cholinergic crisis results from excessive acetylcholine due to anticholinesterase overdose. Classic muscarinic signs include salivation, lacrimation, urination, defecation, GI symptoms (SLUDGE syndrome), miosis, and fasciculations. Myasthenic crisis presents with weakness alone without autonomic signs. Option a describes myasthenic crisis; option c triggers myasthenic crisis; option d is pure MG presentation. Management differs: myasthenic crisis needs plasma exchange/IVIG; cholinergic crisis needs atropine and anticholinesterase withdrawal. Mnemonic: SLUDGE = Salivation, Lacrimation, Urination, Defecation, GI upset, Emesis.</w:t>
      </w:r>
    </w:p>
    <w:p>
      <w:r>
        <w:t xml:space="preserve">Positive Marks: 1</w:t>
      </w:r>
    </w:p>
    <w:p>
      <w:r>
        <w:t xml:space="preserve">Negative Marks: 0.33</w:t>
      </w:r>
    </w:p>
    <w:p/>
    <w:p>
      <w:r>
        <w:rPr>
          <w:b/>
        </w:rPr>
        <w:t xml:space="preserve">Question: A patient with clinical myasthenia gravis is tested negative for anti-acetylcholine receptor (anti-AChR) antibodies but positive for anti-muscle-specific kinase (anti-MuSK) antibodies. Which statement best describes this finding?</w:t>
      </w:r>
    </w:p>
    <w:p>
      <w:r>
        <w:t xml:space="preserve">(a) This patient has seronegative myasthenia gravis and is unlikely to respond to immunotherapy</w:t>
      </w:r>
    </w:p>
    <w:p>
      <w:r>
        <w:t xml:space="preserve">(b) This patient has a different form of MG (seronegative MuSK-associated) with distinct clinical and therapeutic features</w:t>
      </w:r>
    </w:p>
    <w:p>
      <w:r>
        <w:t xml:space="preserve">(c) This finding is diagnostic of Lambert-Eaton myasthenic syndrome, not myasthenia gravis</w:t>
      </w:r>
    </w:p>
    <w:p>
      <w:r>
        <w:t xml:space="preserve">(d) The positive anti-MuSK antibody is a false positive; additional testing is needed to confirm MG</w:t>
      </w:r>
    </w:p>
    <w:p>
      <w:r>
        <w:t xml:space="preserve">Answer: b</w:t>
      </w:r>
    </w:p>
    <w:p>
      <w:r>
        <w:t xml:space="preserve">Solution: Anti-MuSK antibodies are found in 40% of seronegative MG patients. MuSK (muscle-specific kinase) is involved in acetylcholine receptor clustering and maintenance. Anti-MuSK MG has distinct features: predominantly bulbar and respiratory involvement, less ocular manifestations, potentially more severe course, and response to different immunosuppressive regimens. Anti-MuSK MG accounts for ~5-10% of total MG cases. Option a overgeneralizes - anti-MuSK MG does respond to immunotherapy; option c describes LEMS; option d is incorrect.</w:t>
      </w:r>
    </w:p>
    <w:p>
      <w:r>
        <w:t xml:space="preserve">Positive Marks: 1</w:t>
      </w:r>
    </w:p>
    <w:p>
      <w:r>
        <w:t xml:space="preserve">Negative Marks: 0.33</w:t>
      </w:r>
    </w:p>
    <w:p/>
    <w:p>
      <w:r>
        <w:rPr>
          <w:b/>
        </w:rPr>
        <w:t xml:space="preserve">Question: A 40-year-old patient with generalized seropositive myasthenia gravis is adequately controlled on pyridostigmine monotherapy for 6 months but now developing progressive weakness despite compliance. Which long-term management strategy would be most appropriate?</w:t>
      </w:r>
    </w:p>
    <w:p>
      <w:r>
        <w:t xml:space="preserve">(a) Increase pyridostigmine dose gradually until crisis develops, then initiate immunotherapy</w:t>
      </w:r>
    </w:p>
    <w:p>
      <w:r>
        <w:t xml:space="preserve">(b) Add immunosuppressive therapy (corticosteroid or azathioprine) to achieve better disease control and potential remission</w:t>
      </w:r>
    </w:p>
    <w:p>
      <w:r>
        <w:t xml:space="preserve">(c) Perform immediate thymectomy and defer immunosuppressive therapy for 2-3 months post-operatively</w:t>
      </w:r>
    </w:p>
    <w:p>
      <w:r>
        <w:t xml:space="preserve">(d) Switch to newer anticholinesterase (edrophonium) while considering plasma exchange as bridge therapy</w:t>
      </w:r>
    </w:p>
    <w:p>
      <w:r>
        <w:t xml:space="preserve">Answer: b</w:t>
      </w:r>
    </w:p>
    <w:p>
      <w:r>
        <w:t xml:space="preserve">Solution: Progressive weakness despite anticholinesterase therapy indicates need for disease-modifying immunosuppressive treatment. Prednisolone (started cautiously) or azathioprine (effects take 3-6 months) should be initiated. Thymectomy may be considered but is not first-line for all progressive cases. Option a is dangerous - deliberately worsening to crisis is unethical; option c is premature if no thymoma; option d is inappropriate - edrophonium is rarely used now. The goal is remission or minimal manifestations. Combination therapy often more effective than single agent.</w:t>
      </w:r>
    </w:p>
    <w:p>
      <w:r>
        <w:t xml:space="preserve">Positive Marks: 1</w:t>
      </w:r>
    </w:p>
    <w:p>
      <w:r>
        <w:t xml:space="preserve">Negative Marks: 0.33</w:t>
      </w:r>
    </w:p>
    <w:p/>
    <w:p>
      <w:r>
        <w:rPr>
          <w:b/>
        </w:rPr>
        <w:t xml:space="preserve">Question: A patient with purely ocular myasthenia gravis, negative for both anti-AChR and anti-MuSK antibodies, experiences progression to generalized weakness despite adequate anticholinesterase therapy. Which statement best reflects current understanding of seronegative ocular MG progression?</w:t>
      </w:r>
    </w:p>
    <w:p>
      <w:r>
        <w:t xml:space="preserve">(a) Seronegative ocular MG invariably remains localized and never progresses to generalized disease</w:t>
      </w:r>
    </w:p>
    <w:p>
      <w:r>
        <w:t xml:space="preserve">(b) ~16% of ocular MG remains pure ocular form; 84% progress to generalized within 2-3 years; seronegative patients may have undetected antibodies or different pathogenic mechanisms</w:t>
      </w:r>
    </w:p>
    <w:p>
      <w:r>
        <w:t xml:space="preserve">(c) Progression from ocular to generalized MG indicates development of thymoma requiring immediate CT imaging and thymectomy</w:t>
      </w:r>
    </w:p>
    <w:p>
      <w:r>
        <w:t xml:space="preserve">(d) Seronegative MG cannot be treated with immunosuppression; anticholinesterase therapy is the only option</w:t>
      </w:r>
    </w:p>
    <w:p>
      <w:r>
        <w:t xml:space="preserve">Answer: b</w:t>
      </w:r>
    </w:p>
    <w:p>
      <w:r>
        <w:t xml:space="preserve">Solution: Approximately 84% of ocular MG progresses to generalized form within 2-3 years. Seronegative patients (~10-20% of MG) may have undetected antibodies, double-seronegative status, or different pathophysiology (possibly LRP4 antibodies). These patients do benefit from immunosuppression despite seronegativity. Option a is incorrect - progression is common; option c describes a subset but not the rule; option d is false - seronegative MG responds to immunotherapy. Double-seronegative MG occurs in ~7-10% of MG patients.</w:t>
      </w:r>
    </w:p>
    <w:p>
      <w:r>
        <w:t xml:space="preserve">Positive Marks: 1</w:t>
      </w:r>
    </w:p>
    <w:p>
      <w:r>
        <w:t xml:space="preserve">Negative Marks: 0.33</w:t>
      </w:r>
    </w:p>
    <w:p/>
    <w:p>
      <w:r>
        <w:rPr>
          <w:b/>
        </w:rPr>
        <w:t xml:space="preserve">Question: A 26-year-old woman with generalized myasthenia gravis is planning pregnancy. Which statement is most accurate regarding MG and pregnancy?</w:t>
      </w:r>
    </w:p>
    <w:p>
      <w:r>
        <w:t xml:space="preserve">(a) Pregnancy is absolutely contraindicated in all women with myasthenia gravis due to high risk of maternal and fetal complications</w:t>
      </w:r>
    </w:p>
    <w:p>
      <w:r>
        <w:t xml:space="preserve">(b) MG symptoms may improve, remain stable, or worsen unpredictably during pregnancy; azathioprine and prednisolone are considered relatively safe; neonatal MG can occur in 10-15% of infants born to affected mothers</w:t>
      </w:r>
    </w:p>
    <w:p>
      <w:r>
        <w:t xml:space="preserve">(c) All pregnant women with MG will develop myasthenic crisis during labor requiring termination of pregnancy for fetal safety</w:t>
      </w:r>
    </w:p>
    <w:p>
      <w:r>
        <w:t xml:space="preserve">(d) MG has no effect on pregnancy outcomes; standard treatment should continue unchanged throughout pregnancy</w:t>
      </w:r>
    </w:p>
    <w:p>
      <w:r>
        <w:t xml:space="preserve">Answer: b</w:t>
      </w:r>
    </w:p>
    <w:p>
      <w:r>
        <w:t xml:space="preserve">Solution: Pregnancy outcomes in MG are variable - 1/3 improve, 1/3 remain stable, 1/3 worsen. Prednisolone and azathioprine are relatively safe in pregnancy (weigh benefits-risks). Neonatal MG occurs in 10-15% of infants born to affected mothers due to transplacental transfer of maternal IgG anti-AChR antibodies, causing temporary weakness (resolves in days-weeks). Anticholinesterases are safe; pyridostigmine preferred over neostigmine. Option a is overly restrictive; option c is false - crisis is not inevitable; option d ignores management considerations. Careful monitoring and anesthesia planning are essential.</w:t>
      </w:r>
    </w:p>
    <w:p>
      <w:r>
        <w:t xml:space="preserve">Positive Marks: 1</w:t>
      </w:r>
    </w:p>
    <w:p>
      <w:r>
        <w:t xml:space="preserve">Negative Marks: 0.33</w:t>
      </w:r>
    </w:p>
    <w:p/>
    <w:p>
      <w:r>
        <w:rPr>
          <w:b/>
        </w:rPr>
        <w:t xml:space="preserve">Question: A patient with myasthenia gravis presents with myasthenic crisis (respiratory weakness with vital capacity declining). Which intervention is the most specific and appropriate initial immunological management?</w:t>
      </w:r>
    </w:p>
    <w:p>
      <w:r>
        <w:t xml:space="preserve">(a) Immediate administration of pyridostigmine through nasogastric tube with mechanical ventilation support</w:t>
      </w:r>
    </w:p>
    <w:p>
      <w:r>
        <w:t xml:space="preserve">(b) Plasma exchange or intravenous immunoglobulin (IVIG) to rapidly remove or neutralize pathogenic antibodies</w:t>
      </w:r>
    </w:p>
    <w:p>
      <w:r>
        <w:t xml:space="preserve">(c) Initiation of high-dose corticosteroids which work within 1-2 hours to suppress immune response</w:t>
      </w:r>
    </w:p>
    <w:p>
      <w:r>
        <w:t xml:space="preserve">(d) Emergency thymectomy to prevent further antibody production at the source</w:t>
      </w:r>
    </w:p>
    <w:p>
      <w:r>
        <w:t xml:space="preserve">Answer: b</w:t>
      </w:r>
    </w:p>
    <w:p>
      <w:r>
        <w:t xml:space="preserve">Solution: Plasma exchange (removes ~90% of IgG antibodies in 5-6 sessions) and IVIG (neutralizes circulating antibodies) are the most specific and rapid immunological interventions in myasthenic crisis. Effects are seen within 24-48 hours, buying time for other therapies. Both are equally effective; IVIG preferred when plasma exchange is contraindicated. Option a is inappropriate during crisis - anticholinesterases may worsen if cholinergic; option c works but takes 3-5 days; option d is not acute management. Respiratory support is necessary bridge therapy. After crisis resolution, long-term immunosuppression prevents recurrence.</w:t>
      </w:r>
    </w:p>
    <w:p>
      <w:r>
        <w:t xml:space="preserve">Positive Marks: 1</w:t>
      </w:r>
    </w:p>
    <w:p>
      <w:r>
        <w:t xml:space="preserve">Negative Marks: 0.33</w:t>
      </w:r>
    </w:p>
    <w:sectPr>
      <w:pgSz w:w="11906" w:h="16838"/>
      <w:pgMar w:top="1134" w:right="1134" w:bottom="1134" w:left="1134"/>
    </w:sectPr>
  </w:body>
</w:document>
</file>