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Rule of 9s, what percentage of Total Body Surface Area (TBSA) does each upper limb represent in an adult?</w:t>
      </w:r>
    </w:p>
    <w:p>
      <w:r>
        <w:t xml:space="preserve">(a) 4.5%</w:t>
      </w:r>
    </w:p>
    <w:p>
      <w:r>
        <w:t xml:space="preserve">(b) 9%</w:t>
      </w:r>
    </w:p>
    <w:p>
      <w:r>
        <w:t xml:space="preserve">(c) 18%</w:t>
      </w:r>
    </w:p>
    <w:p>
      <w:r>
        <w:t xml:space="preserve">(d) 13.5%</w:t>
      </w:r>
    </w:p>
    <w:p>
      <w:r>
        <w:t xml:space="preserve">Answer: a</w:t>
      </w:r>
    </w:p>
    <w:p>
      <w:r>
        <w:t xml:space="preserve">Solution: In the Rule of 9s, each upper limb = 9% (anterior 4.5% + posterior 4.5%). The entire arm including hand is 9%. This is an essential assessment tool for calculating fluid resuscitation volume and monitoring burn severity. Options b, c, d represent incorrect groupings or double-counting of body regions. MEMORY AID: 'Each arm = 9%, each leg = 18%, trunk = 36%'</w:t>
      </w:r>
    </w:p>
    <w:p>
      <w:r>
        <w:t xml:space="preserve">Positive Marks: 1</w:t>
      </w:r>
    </w:p>
    <w:p>
      <w:r>
        <w:t xml:space="preserve">Negative Marks: 0.33</w:t>
      </w:r>
    </w:p>
    <w:p/>
    <w:p>
      <w:r>
        <w:rPr>
          <w:b/>
        </w:rPr>
        <w:t xml:space="preserve">Question: Which depth of burn is characterized by erythema, pain, and intact epidermis with no blister formation?</w:t>
      </w:r>
    </w:p>
    <w:p>
      <w:r>
        <w:t xml:space="preserve">(a) Superficial/First-degree burn</w:t>
      </w:r>
    </w:p>
    <w:p>
      <w:r>
        <w:t xml:space="preserve">(b) Partial thickness/Second-degree burn</w:t>
      </w:r>
    </w:p>
    <w:p>
      <w:r>
        <w:t xml:space="preserve">(c) Full thickness/Third-degree burn</w:t>
      </w:r>
    </w:p>
    <w:p>
      <w:r>
        <w:t xml:space="preserve">(d) Fourth-degree burn</w:t>
      </w:r>
    </w:p>
    <w:p>
      <w:r>
        <w:t xml:space="preserve">Answer: a</w:t>
      </w:r>
    </w:p>
    <w:p>
      <w:r>
        <w:t xml:space="preserve">Solution: Superficial burns affect only the epidermis, presenting with erythema and pain but no blistering since the basement membrane remains intact. Partial-thickness burns show blistering (fluid-filled), full-thickness burns are painless with charred appearance, and fourth-degree involves deeper structures. The absence of blistering distinguishes superficial from deeper burns. Common example: mild sunburn.</w:t>
      </w:r>
    </w:p>
    <w:p>
      <w:r>
        <w:t xml:space="preserve">Positive Marks: 1</w:t>
      </w:r>
    </w:p>
    <w:p>
      <w:r>
        <w:t xml:space="preserve">Negative Marks: 0.33</w:t>
      </w:r>
    </w:p>
    <w:p/>
    <w:p>
      <w:r>
        <w:rPr>
          <w:b/>
        </w:rPr>
        <w:t xml:space="preserve">Question: What is the immediate priority in the first-aid management of a patient with thermal burns at the scene of injury?</w:t>
      </w:r>
    </w:p>
    <w:p>
      <w:r>
        <w:t xml:space="preserve">(a) Assess airway, breathing, and circulation (ABCs)</w:t>
      </w:r>
    </w:p>
    <w:p>
      <w:r>
        <w:t xml:space="preserve">(b) Apply ice immediately to the affected area</w:t>
      </w:r>
    </w:p>
    <w:p>
      <w:r>
        <w:t xml:space="preserve">(c) Remove all jewelry and clothing from the burned area</w:t>
      </w:r>
    </w:p>
    <w:p>
      <w:r>
        <w:t xml:space="preserve">(d) Start intravenous fluid resuscitation</w:t>
      </w:r>
    </w:p>
    <w:p>
      <w:r>
        <w:t xml:space="preserve">Answer: a</w:t>
      </w:r>
    </w:p>
    <w:p>
      <w:r>
        <w:t xml:space="preserve">Solution: ABCs are the primary assessment before any other intervention in emergency management. Ice application can cause hypothermia and worsen injury. Clothing should be removed carefully to avoid further tissue damage. IV fluids are started after assessment and transfer to hospital. Following trauma assessment protocols ensures life-threatening conditions are identified and managed first.</w:t>
      </w:r>
    </w:p>
    <w:p>
      <w:r>
        <w:t xml:space="preserve">Positive Marks: 1</w:t>
      </w:r>
    </w:p>
    <w:p>
      <w:r>
        <w:t xml:space="preserve">Negative Marks: 0.33</w:t>
      </w:r>
    </w:p>
    <w:p/>
    <w:p>
      <w:r>
        <w:rPr>
          <w:b/>
        </w:rPr>
        <w:t xml:space="preserve">Question: Why is the Lund and Browder chart considered more accurate than the Rule of 9s for burn area assessment?</w:t>
      </w:r>
    </w:p>
    <w:p>
      <w:r>
        <w:t xml:space="preserve">(a) It accounts for age-related variations in body surface proportions</w:t>
      </w:r>
    </w:p>
    <w:p>
      <w:r>
        <w:t xml:space="preserve">(b) It is easier to memorize and apply quickly</w:t>
      </w:r>
    </w:p>
    <w:p>
      <w:r>
        <w:t xml:space="preserve">(c) It is used exclusively for pediatric burn patients</w:t>
      </w:r>
    </w:p>
    <w:p>
      <w:r>
        <w:t xml:space="preserve">(d) It automatically calculates fluid requirements</w:t>
      </w:r>
    </w:p>
    <w:p>
      <w:r>
        <w:t xml:space="preserve">Answer: a</w:t>
      </w:r>
    </w:p>
    <w:p>
      <w:r>
        <w:t xml:space="preserve">Solution: The Lund and Browder chart adjusts percentages based on age, as children have proportionally larger heads and smaller legs compared to adults. This provides more accurate TBSA estimation, especially critical in pediatric burns. The Rule of 9s uses fixed percentages regardless of age. While Lund and Browder is more accurate, Rule of 9s is faster for initial triage in emergency settings.</w:t>
      </w:r>
    </w:p>
    <w:p>
      <w:r>
        <w:t xml:space="preserve">Positive Marks: 1</w:t>
      </w:r>
    </w:p>
    <w:p>
      <w:r>
        <w:t xml:space="preserve">Negative Marks: 0.33</w:t>
      </w:r>
    </w:p>
    <w:p/>
    <w:p>
      <w:r>
        <w:rPr>
          <w:b/>
        </w:rPr>
        <w:t xml:space="preserve">Question: A 70 kg adult with 40% TBSA thermal burn is admitted. Using the Parkland formula, what total volume of Lactated Ringer's should be administered in the first 24 hours?</w:t>
      </w:r>
    </w:p>
    <w:p>
      <w:r>
        <w:t xml:space="preserve">(a) 5,600 mL</w:t>
      </w:r>
    </w:p>
    <w:p>
      <w:r>
        <w:t xml:space="preserve">(b) 7,800 mL</w:t>
      </w:r>
    </w:p>
    <w:p>
      <w:r>
        <w:t xml:space="preserve">(c) 11,200 mL</w:t>
      </w:r>
    </w:p>
    <w:p>
      <w:r>
        <w:t xml:space="preserve">(d) 14,000 mL</w:t>
      </w:r>
    </w:p>
    <w:p>
      <w:r>
        <w:t xml:space="preserve">Answer: c</w:t>
      </w:r>
    </w:p>
    <w:p>
      <w:r>
        <w:t xml:space="preserve">Solution: Parkland formula = 4 mL × kg × %TBSA = 4 × 70 × 40 = 11,200 mL in first 24 hours. Half (5,600 mL) infused in first 8 hours, remaining half over next 16 hours. This aggressive fluid resuscitation prevents hypovolemic shock and maintains organ perfusion. Option a is only half the requirement; options b and d are miscalculations. FORMULA MEMORY: '4-2-1' guideline - 4 mL for first 8 hrs, 2 mL for next phase, adjusting by urine output.</w:t>
      </w:r>
    </w:p>
    <w:p>
      <w:r>
        <w:t xml:space="preserve">Positive Marks: 1</w:t>
      </w:r>
    </w:p>
    <w:p>
      <w:r>
        <w:t xml:space="preserve">Negative Marks: 0.33</w:t>
      </w:r>
    </w:p>
    <w:p/>
    <w:p>
      <w:r>
        <w:rPr>
          <w:b/>
        </w:rPr>
        <w:t xml:space="preserve">Question: Silver sulfadiazine is the most commonly preferred topical agent for burn wound management because it:</w:t>
      </w:r>
    </w:p>
    <w:p>
      <w:r>
        <w:t xml:space="preserve">(a) Promotes rapid epithelialization without pain</w:t>
      </w:r>
    </w:p>
    <w:p>
      <w:r>
        <w:t xml:space="preserve">(b) Effectively prevents burn wound infection and is well-tolerated</w:t>
      </w:r>
    </w:p>
    <w:p>
      <w:r>
        <w:t xml:space="preserve">(c) Can be applied to facial burns without causing discoloration</w:t>
      </w:r>
    </w:p>
    <w:p>
      <w:r>
        <w:t xml:space="preserve">(d) Requires application only once daily with sustained action</w:t>
      </w:r>
    </w:p>
    <w:p>
      <w:r>
        <w:t xml:space="preserve">Answer: b</w:t>
      </w:r>
    </w:p>
    <w:p>
      <w:r>
        <w:t xml:space="preserve">Solution: Silver sulfadiazine provides broad-spectrum antimicrobial coverage against gram-positive, gram-negative, and some fungal organisms, reducing infection risk in burn wounds. It is relatively painless and well-tolerated. Option a is incorrect as it doesn't promote epithelialization faster than other agents; option c is false as it can cause staining; option d requires once-to-twice daily application. Alternatives like mafenide acetate can be used but have more side effects.</w:t>
      </w:r>
    </w:p>
    <w:p>
      <w:r>
        <w:t xml:space="preserve">Positive Marks: 1</w:t>
      </w:r>
    </w:p>
    <w:p>
      <w:r>
        <w:t xml:space="preserve">Negative Marks: 0.33</w:t>
      </w:r>
    </w:p>
    <w:p/>
    <w:p>
      <w:r>
        <w:rPr>
          <w:b/>
        </w:rPr>
        <w:t xml:space="preserve">Question: Escharotomy is indicated in a circumferential burn of the chest when the nurse observes:</w:t>
      </w:r>
    </w:p>
    <w:p>
      <w:r>
        <w:t xml:space="preserve">(a) The burn covers more than 50% TBSA</w:t>
      </w:r>
    </w:p>
    <w:p>
      <w:r>
        <w:t xml:space="preserve">(b) Respiratory compromise occurs due to circumferential eschar restricting chest expansion</w:t>
      </w:r>
    </w:p>
    <w:p>
      <w:r>
        <w:t xml:space="preserve">(c) 72 hours have passed without signs of healing</w:t>
      </w:r>
    </w:p>
    <w:p>
      <w:r>
        <w:t xml:space="preserve">(d) Before starting the Parkland formula fluid resuscitation</w:t>
      </w:r>
    </w:p>
    <w:p>
      <w:r>
        <w:t xml:space="preserve">Answer: b</w:t>
      </w:r>
    </w:p>
    <w:p>
      <w:r>
        <w:t xml:space="preserve">Solution: Escharotomy is an emergency surgical procedure to release circumferential eschar that impairs circulation or respiration. Clinical signs of need include restricted breathing, decreased oxygen saturation, or absent peripheral pulses. This is a time-sensitive intervention to prevent tissue necrosis and death. Options a, c, and d represent incorrect indications or timing. The procedure must be performed early, often within the emergent phase (0-36 hours).</w:t>
      </w:r>
    </w:p>
    <w:p>
      <w:r>
        <w:t xml:space="preserve">Positive Marks: 1</w:t>
      </w:r>
    </w:p>
    <w:p>
      <w:r>
        <w:t xml:space="preserve">Negative Marks: 0.33</w:t>
      </w:r>
    </w:p>
    <w:p/>
    <w:p>
      <w:r>
        <w:rPr>
          <w:b/>
        </w:rPr>
        <w:t xml:space="preserve">Question: Which biological dressing is most effective for temporary wound coverage in deep partial-thickness burns?</w:t>
      </w:r>
    </w:p>
    <w:p>
      <w:r>
        <w:t xml:space="preserve">(a) Gauze moistened with antiseptic solution</w:t>
      </w:r>
    </w:p>
    <w:p>
      <w:r>
        <w:t xml:space="preserve">(b) Homograft or allograft (cadaver or donor skin)</w:t>
      </w:r>
    </w:p>
    <w:p>
      <w:r>
        <w:t xml:space="preserve">(c) Paraffin-impregnated gauze</w:t>
      </w:r>
    </w:p>
    <w:p>
      <w:r>
        <w:t xml:space="preserve">(d) Non-adherent cotton dressing</w:t>
      </w:r>
    </w:p>
    <w:p>
      <w:r>
        <w:t xml:space="preserve">Answer: b</w:t>
      </w:r>
    </w:p>
    <w:p>
      <w:r>
        <w:t xml:space="preserve">Solution: Homografts and allografts provide the best temporary biological covering for deep partial-thickness burns, reducing fluid loss, pain, and infection risk while waiting for autograft. They provide a matrix that adheres well and can be used as a bridge. Options a and d are passive dressings without biological properties; option c (paraffin gauze) is used for moisture retention but is not biological. Autograft is definitive but limited by available donor sites.</w:t>
      </w:r>
    </w:p>
    <w:p>
      <w:r>
        <w:t xml:space="preserve">Positive Marks: 1</w:t>
      </w:r>
    </w:p>
    <w:p>
      <w:r>
        <w:t xml:space="preserve">Negative Marks: 0.33</w:t>
      </w:r>
    </w:p>
    <w:p/>
    <w:p>
      <w:r>
        <w:rPr>
          <w:b/>
        </w:rPr>
        <w:t xml:space="preserve">Question: Using the Curreri formula (25 kcal/kg + 40 kcal/%TBSA), approximately how many calories per day does a 60 kg patient with 35% TBSA burn require during the acute phase?</w:t>
      </w:r>
    </w:p>
    <w:p>
      <w:r>
        <w:t xml:space="preserve">(a) 1,500-2,000 kcal</w:t>
      </w:r>
    </w:p>
    <w:p>
      <w:r>
        <w:t xml:space="preserve">(b) 2,500-3,000 kcal</w:t>
      </w:r>
    </w:p>
    <w:p>
      <w:r>
        <w:t xml:space="preserve">(c) 3,500-4,500 kcal</w:t>
      </w:r>
    </w:p>
    <w:p>
      <w:r>
        <w:t xml:space="preserve">(d) 5,000-6,000 kcal</w:t>
      </w:r>
    </w:p>
    <w:p>
      <w:r>
        <w:t xml:space="preserve">Answer: b</w:t>
      </w:r>
    </w:p>
    <w:p>
      <w:r>
        <w:t xml:space="preserve">Solution: Curreri formula: (25 × 60 kg) + (40 × 35% TBSA) = 1,500 + 1,400 = 2,900 kcal. This hypermetabolic response is due to increased catabolism and energy demands from wound healing. Adequate nutrition is critical to prevent negative nitrogen balance and support immune function. Option a is insufficient; options c and d exceed calculated needs and could cause overfeeding complications. Enteral nutrition is preferred over parenteral.</w:t>
      </w:r>
    </w:p>
    <w:p>
      <w:r>
        <w:t xml:space="preserve">Positive Marks: 1</w:t>
      </w:r>
    </w:p>
    <w:p>
      <w:r>
        <w:t xml:space="preserve">Negative Marks: 0.33</w:t>
      </w:r>
    </w:p>
    <w:p/>
    <w:p>
      <w:r>
        <w:rPr>
          <w:b/>
        </w:rPr>
        <w:t xml:space="preserve">Question: To prevent hypertrophic scarring in burn survivors during the rehabilitation phase, which nursing intervention is most critical?</w:t>
      </w:r>
    </w:p>
    <w:p>
      <w:r>
        <w:t xml:space="preserve">(a) Perform immediate split-thickness skin grafting on all burns</w:t>
      </w:r>
    </w:p>
    <w:p>
      <w:r>
        <w:t xml:space="preserve">(b) Apply early and continuous pressure therapy using compression garments for 12-24 months</w:t>
      </w:r>
    </w:p>
    <w:p>
      <w:r>
        <w:t xml:space="preserve">(c) Restrict the patient's physical activity until complete wound healing</w:t>
      </w:r>
    </w:p>
    <w:p>
      <w:r>
        <w:t xml:space="preserve">(d) Apply topical corticosteroids indefinitely to all healed burns</w:t>
      </w:r>
    </w:p>
    <w:p>
      <w:r>
        <w:t xml:space="preserve">Answer: b</w:t>
      </w:r>
    </w:p>
    <w:p>
      <w:r>
        <w:t xml:space="preserve">Solution: Continuous pressure therapy using compression garments (20-30 mmHg) applied early after wound closure significantly reduces hypertrophic scarring by controlling collagen deposition and providing mechanical tension. The compression must be maintained for 12-24 months as scars continue to remodel. Options a, c are unnecessary or counterproductive; option d requires specific protocols and isn't indefinite. Early mobilization and exercises (option c exclusion) are also important.</w:t>
      </w:r>
    </w:p>
    <w:p>
      <w:r>
        <w:t xml:space="preserve">Positive Marks: 1</w:t>
      </w:r>
    </w:p>
    <w:p>
      <w:r>
        <w:t xml:space="preserve">Negative Marks: 0.33</w:t>
      </w:r>
    </w:p>
    <w:p/>
    <w:p>
      <w:r>
        <w:rPr>
          <w:b/>
        </w:rPr>
        <w:t xml:space="preserve">Question: Which clinical finding is most specific for diagnosing inhalation injury in a burn patient?</w:t>
      </w:r>
    </w:p>
    <w:p>
      <w:r>
        <w:t xml:space="preserve">(a) Extensive body surface area burn (&gt;40% TBSA)</w:t>
      </w:r>
    </w:p>
    <w:p>
      <w:r>
        <w:t xml:space="preserve">(b) Presence of soot in sputum and hoarseness of voice</w:t>
      </w:r>
    </w:p>
    <w:p>
      <w:r>
        <w:t xml:space="preserve">(c) Tachycardia and elevated heart rate</w:t>
      </w:r>
    </w:p>
    <w:p>
      <w:r>
        <w:t xml:space="preserve">(d) Hypertension and restlessness</w:t>
      </w:r>
    </w:p>
    <w:p>
      <w:r>
        <w:t xml:space="preserve">Answer: b</w:t>
      </w:r>
    </w:p>
    <w:p>
      <w:r>
        <w:t xml:space="preserve">Solution: Soot in sputum and hoarseness indicate direct thermal/chemical injury to the respiratory tract, which is pathognomonic for inhalation injury. These signs suggest airway involvement requiring immediate assessment and potential intubation. Option a is non-specific as large burns occur without inhalation injury; options c and d are systemic responses seen in any severe burn. Other signs of inhalation injury include singed nasal hairs, carbonaceous sputum, and stridor.</w:t>
      </w:r>
    </w:p>
    <w:p>
      <w:r>
        <w:t xml:space="preserve">Positive Marks: 1</w:t>
      </w:r>
    </w:p>
    <w:p>
      <w:r>
        <w:t xml:space="preserve">Negative Marks: 0.33</w:t>
      </w:r>
    </w:p>
    <w:p/>
    <w:p>
      <w:r>
        <w:rPr>
          <w:b/>
        </w:rPr>
        <w:t xml:space="preserve">Question: After application of a split-thickness skin autograft to a burn wound, the graft should be immobilized for how many days to ensure adequate adherence and engraftment?</w:t>
      </w:r>
    </w:p>
    <w:p>
      <w:r>
        <w:t xml:space="preserve">(a) 3-5 days</w:t>
      </w:r>
    </w:p>
    <w:p>
      <w:r>
        <w:t xml:space="preserve">(b) 7-10 days</w:t>
      </w:r>
    </w:p>
    <w:p>
      <w:r>
        <w:t xml:space="preserve">(c) 14-21 days</w:t>
      </w:r>
    </w:p>
    <w:p>
      <w:r>
        <w:t xml:space="preserve">(d) 21-28 days</w:t>
      </w:r>
    </w:p>
    <w:p>
      <w:r>
        <w:t xml:space="preserve">Answer: b</w:t>
      </w:r>
    </w:p>
    <w:p>
      <w:r>
        <w:t xml:space="preserve">Solution: Split-thickness autografts require 7-10 days of immobilization to allow fibrin adhesion and neovascularization from the recipient bed. After this period, careful mobilization and exercises can begin. Shorter immobilization (option a) risks graft dislodgement; longer periods (options c, d) cause unnecessary stiffness and contractures. Dressings should be changed carefully without disturbing the graft, and the limb should be elevated to prevent seroma formation.</w:t>
      </w:r>
    </w:p>
    <w:p>
      <w:r>
        <w:t xml:space="preserve">Positive Marks: 1</w:t>
      </w:r>
    </w:p>
    <w:p>
      <w:r>
        <w:t xml:space="preserve">Negative Marks: 0.33</w:t>
      </w:r>
    </w:p>
    <w:p/>
    <w:p>
      <w:r>
        <w:rPr>
          <w:b/>
        </w:rPr>
        <w:t xml:space="preserve">Question: Ideally, open burn wounds should be covered with autografts or other definitive closure within what timeframe to reduce infection risk and mortality?</w:t>
      </w:r>
    </w:p>
    <w:p>
      <w:r>
        <w:t xml:space="preserve">(a) Within 1-2 days of burn injury</w:t>
      </w:r>
    </w:p>
    <w:p>
      <w:r>
        <w:t xml:space="preserve">(b) Within 3-5 days of burn injury</w:t>
      </w:r>
    </w:p>
    <w:p>
      <w:r>
        <w:t xml:space="preserve">(c) Within 7-10 days of burn injury</w:t>
      </w:r>
    </w:p>
    <w:p>
      <w:r>
        <w:t xml:space="preserve">(d) Within 14 days of burn injury</w:t>
      </w:r>
    </w:p>
    <w:p>
      <w:r>
        <w:t xml:space="preserve">Answer: b</w:t>
      </w:r>
    </w:p>
    <w:p>
      <w:r>
        <w:t xml:space="preserve">Solution: Early wound closure (within 3-5 days) reduces infection risk, decreases sepsis-related mortality, and improves outcomes compared to delayed grafting. Covering the wound provides a barrier against bacteria and reduces fluid loss. Option a is too aggressive; options c and d allow bacterial proliferation and collagen deposition into eschar. Early excision and grafting is now standard of care, often starting within 24-48 hours for larger burns in specialized centers.</w:t>
      </w:r>
    </w:p>
    <w:p>
      <w:r>
        <w:t xml:space="preserve">Positive Marks: 1</w:t>
      </w:r>
    </w:p>
    <w:p>
      <w:r>
        <w:t xml:space="preserve">Negative Marks: 0.33</w:t>
      </w:r>
    </w:p>
    <w:p/>
    <w:p>
      <w:r>
        <w:rPr>
          <w:b/>
        </w:rPr>
        <w:t xml:space="preserve">Question: During which phase of burn injury does the primary fluid shift from intravascular to interstitial compartment occur, causing hypovolemia?</w:t>
      </w:r>
    </w:p>
    <w:p>
      <w:r>
        <w:t xml:space="preserve">(a) Emergent phase (0-36 hours)</w:t>
      </w:r>
    </w:p>
    <w:p>
      <w:r>
        <w:t xml:space="preserve">(b) Intermediate phase (36 hours to 5 days)</w:t>
      </w:r>
    </w:p>
    <w:p>
      <w:r>
        <w:t xml:space="preserve">(c) Late/convalescent phase (5 days onwards)</w:t>
      </w:r>
    </w:p>
    <w:p>
      <w:r>
        <w:t xml:space="preserve">(d) Reconstruction/rehabilitation phase (months to years)</w:t>
      </w:r>
    </w:p>
    <w:p>
      <w:r>
        <w:t xml:space="preserve">Answer: a</w:t>
      </w:r>
    </w:p>
    <w:p>
      <w:r>
        <w:t xml:space="preserve">Solution: The emergent phase is characterized by increased capillary permeability and fluid extravasation into the interstitium, causing 'burn edema' and hypovolemia. This period requires aggressive fluid resuscitation to maintain perfusion. The intermediate phase shows gradual fluid reabsorption; the late phase focuses on infection prevention and healing; the reconstruction phase involves long-term rehabilitation. Understanding this fluid dynamics is essential for timely and appropriate fluid management.</w:t>
      </w:r>
    </w:p>
    <w:p>
      <w:r>
        <w:t xml:space="preserve">Positive Marks: 1</w:t>
      </w:r>
    </w:p>
    <w:p>
      <w:r>
        <w:t xml:space="preserve">Negative Marks: 0.33</w:t>
      </w:r>
    </w:p>
    <w:p/>
    <w:p>
      <w:r>
        <w:rPr>
          <w:b/>
        </w:rPr>
        <w:t xml:space="preserve">Question: A patient with circumferential deep partial-thickness burn of the forearm develops compartment syndrome. Which clinical finding would FIRST indicate this serious complication?</w:t>
      </w:r>
    </w:p>
    <w:p>
      <w:r>
        <w:t xml:space="preserve">(a) Absence of peripheral pulses distal to the burn</w:t>
      </w:r>
    </w:p>
    <w:p>
      <w:r>
        <w:t xml:space="preserve">(b) Severe pain disproportionate to the injury, unrelieved by adequate analgesia</w:t>
      </w:r>
    </w:p>
    <w:p>
      <w:r>
        <w:t xml:space="preserve">(c) Skin pallor and cold limb distal to the burn</w:t>
      </w:r>
    </w:p>
    <w:p>
      <w:r>
        <w:t xml:space="preserve">(d) Muscle necrosis and tissue gangrene</w:t>
      </w:r>
    </w:p>
    <w:p>
      <w:r>
        <w:t xml:space="preserve">Answer: b</w:t>
      </w:r>
    </w:p>
    <w:p>
      <w:r>
        <w:t xml:space="preserve">Solution: Pain out of proportion to clinical findings is the EARLIEST and most sensitive sign of compartment syndrome, occurring before neurovascular compromise. This pain is due to ischemia of muscles within the fascial compartment. Loss of pulses (option a) is a very late sign indicating severe vascular compromise. Pallor and coldness (option c) develop after prolonged ischemia; gangrene (option d) is end-stage. Early recognition and escharotomy/fasciotomy can prevent permanent disability.</w:t>
      </w:r>
    </w:p>
    <w:p>
      <w:r>
        <w:t xml:space="preserve">Positive Marks: 1</w:t>
      </w:r>
    </w:p>
    <w:p>
      <w:r>
        <w:t xml:space="preserve">Negative Marks: 0.33</w:t>
      </w:r>
    </w:p>
    <w:p/>
    <w:p>
      <w:r>
        <w:rPr>
          <w:b/>
        </w:rPr>
        <w:t xml:space="preserve">Question: In a patient with severe electrical burn involving deep muscle damage, what urine output rate should be maintained to prevent myoglobinuria-induced acute tubular necrosis?</w:t>
      </w:r>
    </w:p>
    <w:p>
      <w:r>
        <w:t xml:space="preserve">(a) 0.5 mL/kg/hr</w:t>
      </w:r>
    </w:p>
    <w:p>
      <w:r>
        <w:t xml:space="preserve">(b) 1-1.5 mL/kg/hr</w:t>
      </w:r>
    </w:p>
    <w:p>
      <w:r>
        <w:t xml:space="preserve">(c) 0.25 mL/kg/hr</w:t>
      </w:r>
    </w:p>
    <w:p>
      <w:r>
        <w:t xml:space="preserve">(d) 2-3 mL/kg/hr</w:t>
      </w:r>
    </w:p>
    <w:p>
      <w:r>
        <w:t xml:space="preserve">Answer: b</w:t>
      </w:r>
    </w:p>
    <w:p>
      <w:r>
        <w:t xml:space="preserve">Solution: Electrical burns with entry and exit wounds cause deep muscle necrosis and myoglobinuria. A higher urine output of 1-1.5 mL/kg/hr (target urine color should be clear/pale, not cola-colored) is necessary to flush myoglobin and prevent renal tubular obstruction and ATN. Option a (0.5 mL/kg/hr) is adequate for thermal burns but insufficient for electrical burns. Options c and d are incorrect; some severe cases may need even higher rates. Alkalinization of urine also helps prevent precipitation.</w:t>
      </w:r>
    </w:p>
    <w:p>
      <w:r>
        <w:t xml:space="preserve">Positive Marks: 1</w:t>
      </w:r>
    </w:p>
    <w:p>
      <w:r>
        <w:t xml:space="preserve">Negative Marks: 0.33</w:t>
      </w:r>
    </w:p>
    <w:p/>
    <w:p>
      <w:r>
        <w:rPr>
          <w:b/>
        </w:rPr>
        <w:t xml:space="preserve">Question: The development of gastric ulceration (Curling's ulcer) in severe burn patients is primarily due to:</w:t>
      </w:r>
    </w:p>
    <w:p>
      <w:r>
        <w:t xml:space="preserve">(a) Increased gastric acid production and decreased gastric pH from stress response</w:t>
      </w:r>
    </w:p>
    <w:p>
      <w:r>
        <w:t xml:space="preserve">(b) Direct thermal injury transmitted to the stomach through the esophagus</w:t>
      </w:r>
    </w:p>
    <w:p>
      <w:r>
        <w:t xml:space="preserve">(c) Bacterial translocation from burned tissue across the gastric mucosa</w:t>
      </w:r>
    </w:p>
    <w:p>
      <w:r>
        <w:t xml:space="preserve">(d) Medication-induced gastric erosion from analgesics and antibiotics</w:t>
      </w:r>
    </w:p>
    <w:p>
      <w:r>
        <w:t xml:space="preserve">Answer: a</w:t>
      </w:r>
    </w:p>
    <w:p>
      <w:r>
        <w:t xml:space="preserve">Solution: Severe burns trigger a massive stress response causing intense vagal stimulation and catecholamine release, dramatically increasing gastric acid secretion (HCl) and decreasing mucosal protection. This creates an acidic environment that erodes the gastric mucosa. Option b is incorrect as thermal injury doesn't reach the stomach; option c refers to translocation leading to sepsis but not ulcer formation; option d may contribute but isn't the primary cause. Prophylaxis with H2-blockers or proton pump inhibitors is standard burn management.</w:t>
      </w:r>
    </w:p>
    <w:p>
      <w:r>
        <w:t xml:space="preserve">Positive Marks: 1</w:t>
      </w:r>
    </w:p>
    <w:p>
      <w:r>
        <w:t xml:space="preserve">Negative Marks: 0.33</w:t>
      </w:r>
    </w:p>
    <w:p/>
    <w:p>
      <w:r>
        <w:rPr>
          <w:b/>
        </w:rPr>
        <w:t xml:space="preserve">Question: A severely burned patient in the post-acute phase exhibits progressive muscle wasting, negative nitrogen balance, and persistent hyperglycemia despite adequate nutritional support. This metabolic state is best described as:</w:t>
      </w:r>
    </w:p>
    <w:p>
      <w:r>
        <w:t xml:space="preserve">(a) Hypermetabolic response to severe burn injury with persistent catabolism</w:t>
      </w:r>
    </w:p>
    <w:p>
      <w:r>
        <w:t xml:space="preserve">(b) Septic shock with metabolic complications</w:t>
      </w:r>
    </w:p>
    <w:p>
      <w:r>
        <w:t xml:space="preserve">(c) Stress-induced hyperglycemic syndrome similar to diabetic ketoacidosis</w:t>
      </w:r>
    </w:p>
    <w:p>
      <w:r>
        <w:t xml:space="preserve">(d) Severe malnutrition and protein deficiency</w:t>
      </w:r>
    </w:p>
    <w:p>
      <w:r>
        <w:t xml:space="preserve">Answer: a</w:t>
      </w:r>
    </w:p>
    <w:p>
      <w:r>
        <w:t xml:space="preserve">Solution: Severe burns create a prolonged hypermetabolic state (30-100% above baseline) with increased catecholamine, cortisol, and cytokine levels causing accelerated protein breakdown and glucose production (hyperglycemia). This persists despite nutrition. Option b would show additional sepsis signs (fever, organ failure); option c is different pathophysiology; option d doesn't explain the hyperglycemia in fed patients. This catabolism is normal after severe burns and requires higher caloric intake and exercise to minimize losses.</w:t>
      </w:r>
    </w:p>
    <w:p>
      <w:r>
        <w:t xml:space="preserve">Positive Marks: 1</w:t>
      </w:r>
    </w:p>
    <w:p>
      <w:r>
        <w:t xml:space="preserve">Negative Marks: 0.33</w:t>
      </w:r>
    </w:p>
    <w:p/>
    <w:p>
      <w:r>
        <w:rPr>
          <w:b/>
        </w:rPr>
        <w:t xml:space="preserve">Question: A burn patient presents with areas showing blistering with pink/red base and areas with mottled appearance with decreased pain sensation. Which assessment best describes the burn depth?</w:t>
      </w:r>
    </w:p>
    <w:p>
      <w:r>
        <w:t xml:space="preserve">(a) Superficial partial-thickness burn only</w:t>
      </w:r>
    </w:p>
    <w:p>
      <w:r>
        <w:t xml:space="preserve">(b) Mix of partial-thickness and full-thickness burns</w:t>
      </w:r>
    </w:p>
    <w:p>
      <w:r>
        <w:t xml:space="preserve">(c) Full-thickness burn with underlying eschar formation</w:t>
      </w:r>
    </w:p>
    <w:p>
      <w:r>
        <w:t xml:space="preserve">(d) Purely superficial thermal burn of the epidermis</w:t>
      </w:r>
    </w:p>
    <w:p>
      <w:r>
        <w:t xml:space="preserve">Answer: b</w:t>
      </w:r>
    </w:p>
    <w:p>
      <w:r>
        <w:t xml:space="preserve">Solution: The presence of both blistering (characteristic of partial-thickness with intact nerve endings = painful) and decreased sensation (indicating nerve damage in deeper layers) along with mottled appearance suggests involvement of both superficial and deep dermal layers with some full-thickness elements. This mixed pattern is common in moderate-to-severe burns and requires individualized management with some areas suitable for grafting while others may epithelialize. Accurate assessment guides treatment decisions regarding conservative vs surgical management.</w:t>
      </w:r>
    </w:p>
    <w:p>
      <w:r>
        <w:t xml:space="preserve">Positive Marks: 1</w:t>
      </w:r>
    </w:p>
    <w:p>
      <w:r>
        <w:t xml:space="preserve">Negative Marks: 0.33</w:t>
      </w:r>
    </w:p>
    <w:p/>
    <w:p>
      <w:r>
        <w:rPr>
          <w:b/>
        </w:rPr>
        <w:t xml:space="preserve">Question: In the rehabilitation phase of a patient with extensive burn injury covering 60% TBSA, what should be the PRIMARY nursing focus to optimize long-term outcomes?</w:t>
      </w:r>
    </w:p>
    <w:p>
      <w:r>
        <w:t xml:space="preserve">(a) Maintaining strict sterility and infection control protocols</w:t>
      </w:r>
    </w:p>
    <w:p>
      <w:r>
        <w:t xml:space="preserve">(b) Restoring functional ability and preventing contractures through early mobilization and therapeutic exercises</w:t>
      </w:r>
    </w:p>
    <w:p>
      <w:r>
        <w:t xml:space="preserve">(c) Continuing aggressive fluid and electrolyte management</w:t>
      </w:r>
    </w:p>
    <w:p>
      <w:r>
        <w:t xml:space="preserve">(d) Administering prophylactic antibiotics and analgesics indefinitely</w:t>
      </w:r>
    </w:p>
    <w:p>
      <w:r>
        <w:t xml:space="preserve">Answer: b</w:t>
      </w:r>
    </w:p>
    <w:p>
      <w:r>
        <w:t xml:space="preserve">Solution: The rehabilitation phase (after 5 days to months/years) shifts focus from survival to functional restoration. Early mobilization and active-assistive exercises prevent contracture formation, maintain joint mobility, and restore independence. Infection control is important but less acute; fluid management and medications are adjusted as healing progresses. Psychological counseling, compression garments, and progressive activity are equally important components. Success in this phase determines patient quality of life and return to ADLs/work.</w:t>
      </w:r>
    </w:p>
    <w:p>
      <w:r>
        <w:t xml:space="preserve">Positive Marks: 1</w:t>
      </w:r>
    </w:p>
    <w:p>
      <w:r>
        <w:t xml:space="preserve">Negative Marks: 0.33</w:t>
      </w:r>
    </w:p>
    <w:sectPr>
      <w:pgSz w:w="11906" w:h="16838"/>
      <w:pgMar w:top="1134" w:right="1134" w:bottom="1134" w:left="1134"/>
    </w:sectPr>
  </w:body>
</w:document>
</file>