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an 'emerging infection'?</w:t>
      </w:r>
    </w:p>
    <w:p>
      <w:r>
        <w:t xml:space="preserve">(a) A newly identified infectious disease that has appeared in a population for the first time within the last two decades</w:t>
      </w:r>
    </w:p>
    <w:p>
      <w:r>
        <w:t xml:space="preserve">(b) Any infectious disease that causes mortality rates exceeding 10% in affected populations</w:t>
      </w:r>
    </w:p>
    <w:p>
      <w:r>
        <w:t xml:space="preserve">(c) An infection that was previously controlled but has resurfaced in endemic or new geographic areas</w:t>
      </w:r>
    </w:p>
    <w:p>
      <w:r>
        <w:t xml:space="preserve">(d) A disease exclusively transmitted through sexual contact or blood transfusion</w:t>
      </w:r>
    </w:p>
    <w:p>
      <w:r>
        <w:t xml:space="preserve">Answer: a</w:t>
      </w:r>
    </w:p>
    <w:p>
      <w:r>
        <w:t xml:space="preserve">Solution: Emerging infections are newly identified pathogens or known pathogens in new geographic areas/populations appearing for the first time in recent history (last 20 years), exemplified by COVID-19, SARS, and Nipah virus. Option B incorrectly focuses on mortality alone rather than novelty. Option C defines 're-emerging' infections specifically. Option D incorrectly limits transmission routes. The WHO and CDC define emerging infections based on novelty of appearance rather than severity.</w:t>
      </w:r>
    </w:p>
    <w:p>
      <w:r>
        <w:t xml:space="preserve">Positive Marks: 1</w:t>
      </w:r>
    </w:p>
    <w:p>
      <w:r>
        <w:t xml:space="preserve">Negative Marks: 0.33</w:t>
      </w:r>
    </w:p>
    <w:p/>
    <w:p>
      <w:r>
        <w:rPr>
          <w:b/>
        </w:rPr>
        <w:t xml:space="preserve">Question: Dengue fever, after initial large outbreaks in the 1960s-1980s, has shown a marked increase in incidence globally since 2000. This pattern exemplifies which category of communicable disease?</w:t>
      </w:r>
    </w:p>
    <w:p>
      <w:r>
        <w:t xml:space="preserve">(a) Emerging infection</w:t>
      </w:r>
    </w:p>
    <w:p>
      <w:r>
        <w:t xml:space="preserve">(b) Re-emerging infection</w:t>
      </w:r>
    </w:p>
    <w:p>
      <w:r>
        <w:t xml:space="preserve">(c) Pandemic disease</w:t>
      </w:r>
    </w:p>
    <w:p>
      <w:r>
        <w:t xml:space="preserve">(d) Healthcare-associated infection</w:t>
      </w:r>
    </w:p>
    <w:p>
      <w:r>
        <w:t xml:space="preserve">Answer: b</w:t>
      </w:r>
    </w:p>
    <w:p>
      <w:r>
        <w:t xml:space="preserve">Solution: Dengue is a classic re-emerging infection that was previously controlled but has resurfaced with greater frequency and geographic spread due to urbanization, climate change, and vector proliferation. Emerging infections are newly identified; dengue was known but had declined. Pandemics refer to epidemics spanning multiple continents simultaneously. Healthcare-associated infections originate from healthcare settings. The distinction lies in dengue's return after relative control.</w:t>
      </w:r>
    </w:p>
    <w:p>
      <w:r>
        <w:t xml:space="preserve">Positive Marks: 1</w:t>
      </w:r>
    </w:p>
    <w:p>
      <w:r>
        <w:t xml:space="preserve">Negative Marks: 0.33</w:t>
      </w:r>
    </w:p>
    <w:p/>
    <w:p>
      <w:r>
        <w:rPr>
          <w:b/>
        </w:rPr>
        <w:t xml:space="preserve">Question: Which of the following is the primary vector for transmission of Zika virus, Dengue, and Chikungunya in most endemic areas?</w:t>
      </w:r>
    </w:p>
    <w:p>
      <w:r>
        <w:t xml:space="preserve">(a) Anopheles mosquito</w:t>
      </w:r>
    </w:p>
    <w:p>
      <w:r>
        <w:t xml:space="preserve">(b) Aedes aegypti mosquito</w:t>
      </w:r>
    </w:p>
    <w:p>
      <w:r>
        <w:t xml:space="preserve">(c) Culex mosquito</w:t>
      </w:r>
    </w:p>
    <w:p>
      <w:r>
        <w:t xml:space="preserve">(d) Ixodes tick</w:t>
      </w:r>
    </w:p>
    <w:p>
      <w:r>
        <w:t xml:space="preserve">Answer: b</w:t>
      </w:r>
    </w:p>
    <w:p>
      <w:r>
        <w:t xml:space="preserve">Solution: Aedes aegypti is the principal vector for all three arboviruses: Zika, Dengue, and Chikungunya, particularly in urban settings. Anopheles transmits malaria; Culex transmits Japanese encephalitis and West Nile virus; Ixodes transmits Lyme disease. Aedes characteristics include daytime biting, indoor resting, and adaptation to urban environments, making it highly efficient for human-to-human arbovirus transmission. This urban-dwelling vector is key to understanding these emerging infections' rapid spread.</w:t>
      </w:r>
    </w:p>
    <w:p>
      <w:r>
        <w:t xml:space="preserve">Positive Marks: 1</w:t>
      </w:r>
    </w:p>
    <w:p>
      <w:r>
        <w:t xml:space="preserve">Negative Marks: 0.33</w:t>
      </w:r>
    </w:p>
    <w:p/>
    <w:p>
      <w:r>
        <w:rPr>
          <w:b/>
        </w:rPr>
        <w:t xml:space="preserve">Question: COVID-19, caused by SARS-CoV-2, was first reported in humans in December 2019 in Wuhan, China. Globally, it qualifies as a/an:</w:t>
      </w:r>
    </w:p>
    <w:p>
      <w:r>
        <w:t xml:space="preserve">(a) Re-emerging infectious disease</w:t>
      </w:r>
    </w:p>
    <w:p>
      <w:r>
        <w:t xml:space="preserve">(b) Healthcare-associated infection</w:t>
      </w:r>
    </w:p>
    <w:p>
      <w:r>
        <w:t xml:space="preserve">(c) Emerging infectious disease and pandemic</w:t>
      </w:r>
    </w:p>
    <w:p>
      <w:r>
        <w:t xml:space="preserve">(d) Endemic communicable disease</w:t>
      </w:r>
    </w:p>
    <w:p>
      <w:r>
        <w:t xml:space="preserve">Answer: c</w:t>
      </w:r>
    </w:p>
    <w:p>
      <w:r>
        <w:t xml:space="preserve">Solution: COVID-19 is simultaneously an emerging infection (novel pathogen in humans) and a pandemic (rapid global spread affecting multiple continents with sustained transmission). It is not re-emerging (no prior known circulation in humans), not primarily healthcare-associated (community transmission dominates), and not yet endemic in most countries. The SARS-CoV-2 virus represents a genuine emergence from animal reservoirs, meeting the classic pandemic criteria of WHO.</w:t>
      </w:r>
    </w:p>
    <w:p>
      <w:r>
        <w:t xml:space="preserve">Positive Marks: 1</w:t>
      </w:r>
    </w:p>
    <w:p>
      <w:r>
        <w:t xml:space="preserve">Negative Marks: 0.33</w:t>
      </w:r>
    </w:p>
    <w:p/>
    <w:p>
      <w:r>
        <w:rPr>
          <w:b/>
        </w:rPr>
        <w:t xml:space="preserve">Question: The primary mode of transmission of SARS-CoV-2 is through:</w:t>
      </w:r>
    </w:p>
    <w:p>
      <w:r>
        <w:t xml:space="preserve">(a) Fecal-oral route exclusively</w:t>
      </w:r>
    </w:p>
    <w:p>
      <w:r>
        <w:t xml:space="preserve">(b) Respiratory droplets and aerosols, with fomite transmission possible</w:t>
      </w:r>
    </w:p>
    <w:p>
      <w:r>
        <w:t xml:space="preserve">(c) Bloodborne transmission exclusively</w:t>
      </w:r>
    </w:p>
    <w:p>
      <w:r>
        <w:t xml:space="preserve">(d) Sexual transmission exclusively</w:t>
      </w:r>
    </w:p>
    <w:p>
      <w:r>
        <w:t xml:space="preserve">Answer: b</w:t>
      </w:r>
    </w:p>
    <w:p>
      <w:r>
        <w:t xml:space="preserve">Solution: SARS-CoV-2 spreads primarily via respiratory droplets (large particles) and aerosols (smaller particles remaining suspended), with secondary fomite transmission possible through contaminated surfaces. The fecal-oral route is minor and not primary. Bloodborne transmission is rare without direct inoculation. Sexual transmission alone is negligible. Understanding respiratory transmission is crucial for infection control measures including masks, ventilation, and isolation protocols in NORCET-level nursing practice.</w:t>
      </w:r>
    </w:p>
    <w:p>
      <w:r>
        <w:t xml:space="preserve">Positive Marks: 1</w:t>
      </w:r>
    </w:p>
    <w:p>
      <w:r>
        <w:t xml:space="preserve">Negative Marks: 0.33</w:t>
      </w:r>
    </w:p>
    <w:p/>
    <w:p>
      <w:r>
        <w:rPr>
          <w:b/>
        </w:rPr>
        <w:t xml:space="preserve">Question: A patient presents with fever, myalgia, headache, and rash appearing on the trunk and spreading to face. Laboratory confirms Dengue IgM positive. The nurse anticipates the risk of progression to severe dengue (dengue hemorrhagic fever). Which clinical finding is the earliest warning sign of dengue hemorrhagic fever?</w:t>
      </w:r>
    </w:p>
    <w:p>
      <w:r>
        <w:t xml:space="preserve">(a) Petechial rash with platelet count &lt;100,000/µL</w:t>
      </w:r>
    </w:p>
    <w:p>
      <w:r>
        <w:t xml:space="preserve">(b) Persistent vomiting with abdominal pain and hepatomegaly</w:t>
      </w:r>
    </w:p>
    <w:p>
      <w:r>
        <w:t xml:space="preserve">(c) Plasma leakage evidenced by hemoconcentration (PCV rise &gt;20%)</w:t>
      </w:r>
    </w:p>
    <w:p>
      <w:r>
        <w:t xml:space="preserve">(d) Spontaneous bleeding from gums and mucous membranes</w:t>
      </w:r>
    </w:p>
    <w:p>
      <w:r>
        <w:t xml:space="preserve">Answer: c</w:t>
      </w:r>
    </w:p>
    <w:p>
      <w:r>
        <w:t xml:space="preserve">Solution: Plasma leakage, detected as hemoconcentration (PCV increase ≥20%) and manifesting as ascites or pleural effusion, is the pathophysiologic hallmark and earliest sign of dengue hemorrhagic fever occurring during the critical phase (days 3-7). Petechial rash and low platelets occur later. Vomiting and hepatomegaly appear but are non-specific. Spontaneous bleeding represents advanced hemorrhage, indicating late stages. Monitoring PCV trends is essential nursing assessment for early intervention in emerging dengue cases.</w:t>
      </w:r>
    </w:p>
    <w:p>
      <w:r>
        <w:t xml:space="preserve">Positive Marks: 1</w:t>
      </w:r>
    </w:p>
    <w:p>
      <w:r>
        <w:t xml:space="preserve">Negative Marks: 0.33</w:t>
      </w:r>
    </w:p>
    <w:p/>
    <w:p>
      <w:r>
        <w:rPr>
          <w:b/>
        </w:rPr>
        <w:t xml:space="preserve">Question: Zika virus infection during pregnancy carries a significant risk of congenital complications. Which is the most severe and characteristic fetal anomaly associated with prenatal Zika exposure?</w:t>
      </w:r>
    </w:p>
    <w:p>
      <w:r>
        <w:t xml:space="preserve">(a) Anencephaly and spina bifida</w:t>
      </w:r>
    </w:p>
    <w:p>
      <w:r>
        <w:t xml:space="preserve">(b) Microcephaly with intracranial calcifications and developmental abnormalities</w:t>
      </w:r>
    </w:p>
    <w:p>
      <w:r>
        <w:t xml:space="preserve">(c) Cleft palate and cardiac defects</w:t>
      </w:r>
    </w:p>
    <w:p>
      <w:r>
        <w:t xml:space="preserve">(d) Gastroschisis and omphalocele</w:t>
      </w:r>
    </w:p>
    <w:p>
      <w:r>
        <w:t xml:space="preserve">Answer: b</w:t>
      </w:r>
    </w:p>
    <w:p>
      <w:r>
        <w:t xml:space="preserve">Solution: Congenital Zika syndrome presents classically with microcephaly accompanied by intracranial calcifications, developmental delay, eye abnormalities, and hearing loss. The microcephaly is proportionate and severe, with characteristic cortical malformation and calcifications. Anencephaly/spina bifida are associated with folate deficiency, not Zika. Cleft palate and cardiac defects are more associated with other teratogens like rubella or thalidomide. Gastroschisis relates to amniotic band syndrome. The Zika-microcephaly link emerged as a critical public health finding during the 2015-2016 epidemic.</w:t>
      </w:r>
    </w:p>
    <w:p>
      <w:r>
        <w:t xml:space="preserve">Positive Marks: 1</w:t>
      </w:r>
    </w:p>
    <w:p>
      <w:r>
        <w:t xml:space="preserve">Negative Marks: 0.33</w:t>
      </w:r>
    </w:p>
    <w:p/>
    <w:p>
      <w:r>
        <w:rPr>
          <w:b/>
        </w:rPr>
        <w:t xml:space="preserve">Question: Monkeypox (mpox) initially spreads from animal reservoirs to humans (spillover event). Following the 2022 global outbreak, human-to-human transmission occurred primarily through which route?</w:t>
      </w:r>
    </w:p>
    <w:p>
      <w:r>
        <w:t xml:space="preserve">(a) Respiratory droplets exclusively</w:t>
      </w:r>
    </w:p>
    <w:p>
      <w:r>
        <w:t xml:space="preserve">(b) Contaminated food and water</w:t>
      </w:r>
    </w:p>
    <w:p>
      <w:r>
        <w:t xml:space="preserve">(c) Close contact with skin lesions, respiratory droplets, and bodily fluids</w:t>
      </w:r>
    </w:p>
    <w:p>
      <w:r>
        <w:t xml:space="preserve">(d) Arthropod vectors similar to dengue</w:t>
      </w:r>
    </w:p>
    <w:p>
      <w:r>
        <w:t xml:space="preserve">Answer: c</w:t>
      </w:r>
    </w:p>
    <w:p>
      <w:r>
        <w:t xml:space="preserve">Solution: Monkeypox transmission to humans involves direct contact with infected animal blood/fluids/lesions (spillover), and human-to-human spread occurs via close contact with pustular lesions, respiratory droplets, and body fluids. Respiratory transmission is secondary, not primary. Food/water contamination is not significant. Arthropod vectors are not involved in human transmission. The 2022 outbreak demonstrated efficient person-to-person spread through close physical contact, revolutionizing understanding of mpox epidemiology from the original zoonotic pattern.</w:t>
      </w:r>
    </w:p>
    <w:p>
      <w:r>
        <w:t xml:space="preserve">Positive Marks: 1</w:t>
      </w:r>
    </w:p>
    <w:p>
      <w:r>
        <w:t xml:space="preserve">Negative Marks: 0.33</w:t>
      </w:r>
    </w:p>
    <w:p/>
    <w:p>
      <w:r>
        <w:rPr>
          <w:b/>
        </w:rPr>
        <w:t xml:space="preserve">Question: Contact tracing is a critical public health intervention for emerging infectious diseases like COVID-19. In nursing practice, what is the primary objective of contact tracing?</w:t>
      </w:r>
    </w:p>
    <w:p>
      <w:r>
        <w:t xml:space="preserve">(a) To identify and isolate persons who had exposure to confirmed cases within the infectious period to break transmission chains</w:t>
      </w:r>
    </w:p>
    <w:p>
      <w:r>
        <w:t xml:space="preserve">(b) To provide treatment to all contacts regardless of symptoms</w:t>
      </w:r>
    </w:p>
    <w:p>
      <w:r>
        <w:t xml:space="preserve">(c) To quarantine entire cities and restrict movement indefinitely</w:t>
      </w:r>
    </w:p>
    <w:p>
      <w:r>
        <w:t xml:space="preserve">(d) To conduct serological testing on all population members</w:t>
      </w:r>
    </w:p>
    <w:p>
      <w:r>
        <w:t xml:space="preserve">Answer: a</w:t>
      </w:r>
    </w:p>
    <w:p>
      <w:r>
        <w:t xml:space="preserve">Solution: Contact tracing identifies individuals exposed to a confirmed case during their infectious period, allowing timely isolation or quarantine before symptom onset, thereby interrupting transmission chains. Treatment is not universally provided to asymptomatic contacts. Quarantine is targeted, not blanket city-wide. Serological testing is diagnostic, not the purpose of contact tracing. The WHO and CDC emphasize contact tracing as essential for controlling emerging diseases, requiring nurses to understand epidemiological principles and implement public health protocols.</w:t>
      </w:r>
    </w:p>
    <w:p>
      <w:r>
        <w:t xml:space="preserve">Positive Marks: 1</w:t>
      </w:r>
    </w:p>
    <w:p>
      <w:r>
        <w:t xml:space="preserve">Negative Marks: 0.33</w:t>
      </w:r>
    </w:p>
    <w:p/>
    <w:p>
      <w:r>
        <w:rPr>
          <w:b/>
        </w:rPr>
        <w:t xml:space="preserve">Question: A nurse is preparing to care for a patient with confirmed COVID-19. According to current guidelines for emerging viral respiratory infections, which personal protective equipment (PPE) sequence is appropriate for donning?</w:t>
      </w:r>
    </w:p>
    <w:p>
      <w:r>
        <w:t xml:space="preserve">(a) Gloves, gown, mask, eye protection, hand hygiene</w:t>
      </w:r>
    </w:p>
    <w:p>
      <w:r>
        <w:t xml:space="preserve">(b) Hand hygiene, gown, mask, eye protection, gloves</w:t>
      </w:r>
    </w:p>
    <w:p>
      <w:r>
        <w:t xml:space="preserve">(c) Mask, gloves, gown, eye protection, hand hygiene</w:t>
      </w:r>
    </w:p>
    <w:p>
      <w:r>
        <w:t xml:space="preserve">(d) Eye protection, hand hygiene, gown, mask, gloves</w:t>
      </w:r>
    </w:p>
    <w:p>
      <w:r>
        <w:t xml:space="preserve">Answer: b</w:t>
      </w:r>
    </w:p>
    <w:p>
      <w:r>
        <w:t xml:space="preserve">Solution: Correct PPE donning sequence for respiratory emerging infections is: hand hygiene → gown → mask (N95 for aerosol-generating procedures) → eye protection → gloves. This sequence prevents self-contamination by protecting hands last (gloves). Hand hygiene initiates the process. Mask placement before eye protection prevents fogging and ensures proper fit. The CDC donning protocol is essential for preventing healthcare worker infection during management of emerging diseases. Improper sequencing significantly increases infection risk.</w:t>
      </w:r>
    </w:p>
    <w:p>
      <w:r>
        <w:t xml:space="preserve">Positive Marks: 1</w:t>
      </w:r>
    </w:p>
    <w:p>
      <w:r>
        <w:t xml:space="preserve">Negative Marks: 0.33</w:t>
      </w:r>
    </w:p>
    <w:p/>
    <w:p>
      <w:r>
        <w:rPr>
          <w:b/>
        </w:rPr>
        <w:t xml:space="preserve">Question: Antimicrobial resistance in Mycobacterium tuberculosis, particularly multi-drug-resistant TB (MDR-TB) and extensively-drug-resistant TB (XDR-TB), represents a major challenge in managing re-emerging tuberculosis. What is the primary mechanism driving the emergence of drug-resistant TB?</w:t>
      </w:r>
    </w:p>
    <w:p>
      <w:r>
        <w:t xml:space="preserve">(a) Spontaneous genetic mutations occurring during antibiotic therapy</w:t>
      </w:r>
    </w:p>
    <w:p>
      <w:r>
        <w:t xml:space="preserve">(b) Irrational use of antibiotics, incomplete treatment courses, and poor adherence leading to selection of resistant organisms</w:t>
      </w:r>
    </w:p>
    <w:p>
      <w:r>
        <w:t xml:space="preserve">(c) Natural evolution of the bacteria independent of antibiotic exposure</w:t>
      </w:r>
    </w:p>
    <w:p>
      <w:r>
        <w:t xml:space="preserve">(d) Transmission of resistance genes exclusively through animal contacts</w:t>
      </w:r>
    </w:p>
    <w:p>
      <w:r>
        <w:t xml:space="preserve">Answer: b</w:t>
      </w:r>
    </w:p>
    <w:p>
      <w:r>
        <w:t xml:space="preserve">Solution: Drug-resistant TB emerges when patients take incomplete or irregular antibiotic courses, allowing non-susceptible organisms to survive and proliferate through selective pressure. This is the primary driver of MDR-TB and XDR-TB globally. Mutations occur during therapy, but selection of resistant strains by suboptimal antibiotic regimens is the key mechanism. Resistance is not spontaneous independent of antibiotics; drug exposure drives selection. Animal transmission plays a negligible role in TB resistance. Nursing emphasis on treatment adherence is critical for preventing resistance emergence.</w:t>
      </w:r>
    </w:p>
    <w:p>
      <w:r>
        <w:t xml:space="preserve">Positive Marks: 1</w:t>
      </w:r>
    </w:p>
    <w:p>
      <w:r>
        <w:t xml:space="preserve">Negative Marks: 0.33</w:t>
      </w:r>
    </w:p>
    <w:p/>
    <w:p>
      <w:r>
        <w:rPr>
          <w:b/>
        </w:rPr>
        <w:t xml:space="preserve">Question: Chikungunya fever typically presents with high fever, severe joint pain (arthralgia), and rash. The joint pain can persist for weeks to months post-infection. Which nursing intervention is most appropriate for managing chronic chikungunya-related arthralgia?</w:t>
      </w:r>
    </w:p>
    <w:p>
      <w:r>
        <w:t xml:space="preserve">(a) High-dose corticosteroids to suppress inflammation permanently</w:t>
      </w:r>
    </w:p>
    <w:p>
      <w:r>
        <w:t xml:space="preserve">(b) Complete bed rest for the duration of convalescence</w:t>
      </w:r>
    </w:p>
    <w:p>
      <w:r>
        <w:t xml:space="preserve">(c) Symptomatic management with NSAIDs, heat therapy, graduated mobilization, and physiotherapy</w:t>
      </w:r>
    </w:p>
    <w:p>
      <w:r>
        <w:t xml:space="preserve">(d) Prophylactic antibiotics to prevent secondary bacterial infection</w:t>
      </w:r>
    </w:p>
    <w:p>
      <w:r>
        <w:t xml:space="preserve">Answer: c</w:t>
      </w:r>
    </w:p>
    <w:p>
      <w:r>
        <w:t xml:space="preserve">Solution: Chikungunya-associated arthralgia is managed symptomatically with NSAIDs (paracetamol, ibuprofen for pain), local heat application, gentle mobilization, and physiotherapy to maintain joint function and prevent stiffness. High-dose steroids are not routine and can be harmful in viral infections. Prolonged bed rest increases disability and joint dysfunction. Prophylactic antibiotics are unnecessary in viral arthralgia without secondary infection. The post-infectious arthralgia can last months to years; early mobilization and rehabilitation significantly improve functional outcomes in this emerging arboviral disease.</w:t>
      </w:r>
    </w:p>
    <w:p>
      <w:r>
        <w:t xml:space="preserve">Positive Marks: 1</w:t>
      </w:r>
    </w:p>
    <w:p>
      <w:r>
        <w:t xml:space="preserve">Negative Marks: 0.33</w:t>
      </w:r>
    </w:p>
    <w:p/>
    <w:p>
      <w:r>
        <w:rPr>
          <w:b/>
        </w:rPr>
        <w:t xml:space="preserve">Question: MERS-CoV (Middle East Respiratory Syndrome-related coronavirus) remains an emerging threat with periodic outbreaks. Unlike SARS-CoV-2, MERS-CoV has a significant animal reservoir and zoonotic transmission component. Which animal is the primary reservoir for MERS-CoV in endemic regions?</w:t>
      </w:r>
    </w:p>
    <w:p>
      <w:r>
        <w:t xml:space="preserve">(a) Fruit bats (Pteropus species)</w:t>
      </w:r>
    </w:p>
    <w:p>
      <w:r>
        <w:t xml:space="preserve">(b) Dromedary camels (one-humped camels)</w:t>
      </w:r>
    </w:p>
    <w:p>
      <w:r>
        <w:t xml:space="preserve">(c) Pigs in concentrated animal feeding operations</w:t>
      </w:r>
    </w:p>
    <w:p>
      <w:r>
        <w:t xml:space="preserve">(d) Pangolins in tropical forests</w:t>
      </w:r>
    </w:p>
    <w:p>
      <w:r>
        <w:t xml:space="preserve">Answer: b</w:t>
      </w:r>
    </w:p>
    <w:p>
      <w:r>
        <w:t xml:space="preserve">Solution: Dromedary camels are the primary reservoir for MERS-CoV in the Arabian Peninsula and Middle East, with humans acquiring infection through direct contact with infected camels or camel products. While bats are suspected as ultimate reservoirs, camels are the intermediate host driving human transmission. Pigs are not involved in MERS epidemiology. Pangolins were initially suspected for SARS-CoV-2, not MERS-CoV. Understanding zoonotic transmission routes is essential for emerging disease surveillance and prevention, particularly in regions with camel husbandry practices.</w:t>
      </w:r>
    </w:p>
    <w:p>
      <w:r>
        <w:t xml:space="preserve">Positive Marks: 1</w:t>
      </w:r>
    </w:p>
    <w:p>
      <w:r>
        <w:t xml:space="preserve">Negative Marks: 0.33</w:t>
      </w:r>
    </w:p>
    <w:p/>
    <w:p>
      <w:r>
        <w:rPr>
          <w:b/>
        </w:rPr>
        <w:t xml:space="preserve">Question: During the early phase of an emerging respiratory viral infection outbreak, epidemiologists track the basic reproduction number (R₀). What does an R₀ of 2.5 indicate regarding disease transmissibility?</w:t>
      </w:r>
    </w:p>
    <w:p>
      <w:r>
        <w:t xml:space="preserve">(a) Each infected person will infect an average of 2.5 susceptible persons in an uncontrolled setting</w:t>
      </w:r>
    </w:p>
    <w:p>
      <w:r>
        <w:t xml:space="preserve">(b) Only 2.5% of exposed persons will develop infection</w:t>
      </w:r>
    </w:p>
    <w:p>
      <w:r>
        <w:t xml:space="preserve">(c) The virus has a 2.5-day incubation period</w:t>
      </w:r>
    </w:p>
    <w:p>
      <w:r>
        <w:t xml:space="preserve">(d) The case fatality rate is 2.5% in the population</w:t>
      </w:r>
    </w:p>
    <w:p>
      <w:r>
        <w:t xml:space="preserve">Answer: a</w:t>
      </w:r>
    </w:p>
    <w:p>
      <w:r>
        <w:t xml:space="preserve">Solution: The basic reproduction number (R₀) of 2.5 means each infected person transmits the disease to an average of 2.5 susceptible individuals in a completely uncontrolled population. This is a key epidemiological parameter predicting outbreak severity. R₀ does not indicate attack rate (option B), incubation period (option C), or fatality rate (option D). An R₀ &gt; 1 indicates sustained transmission; R₀ &lt; 1 suggests disease containment. Understanding R₀ is fundamental for nurses in comprehending emerging disease epidemiology and intervention effectiveness.</w:t>
      </w:r>
    </w:p>
    <w:p>
      <w:r>
        <w:t xml:space="preserve">Positive Marks: 1</w:t>
      </w:r>
    </w:p>
    <w:p>
      <w:r>
        <w:t xml:space="preserve">Negative Marks: 0.33</w:t>
      </w:r>
    </w:p>
    <w:p/>
    <w:p>
      <w:r>
        <w:rPr>
          <w:b/>
        </w:rPr>
        <w:t xml:space="preserve">Question: Surveillance systems for emerging and re-emerging infections are critical for early detection and response. Which component of surveillance is most important for identifying novel pathogens or unusual disease patterns in a healthcare facility?</w:t>
      </w:r>
    </w:p>
    <w:p>
      <w:r>
        <w:t xml:space="preserve">(a) Passive surveillance requiring all providers to report confirmed cases by law</w:t>
      </w:r>
    </w:p>
    <w:p>
      <w:r>
        <w:t xml:space="preserve">(b) Syndromic surveillance monitoring unusual clusters of symptoms even without confirmed diagnoses</w:t>
      </w:r>
    </w:p>
    <w:p>
      <w:r>
        <w:t xml:space="preserve">(c) Retrospective surveillance analyzing cases after disease resolution</w:t>
      </w:r>
    </w:p>
    <w:p>
      <w:r>
        <w:t xml:space="preserve">(d) Sentinel surveillance based on specific predetermined pathogens only</w:t>
      </w:r>
    </w:p>
    <w:p>
      <w:r>
        <w:t xml:space="preserve">Answer: b</w:t>
      </w:r>
    </w:p>
    <w:p>
      <w:r>
        <w:t xml:space="preserve">Solution: Syndromic surveillance is most effective for early detection of emerging infections by monitoring symptom clusters and unusual patterns regardless of diagnostic confirmation, enabling rapid response before widespread transmission. Passive surveillance depends on provider reporting and may miss novel presentations. Retrospective surveillance is too slow for emerging threats. Sentinel surveillance monitors only known pathogens and misses novel ones. The 2003 SARS outbreak demonstrated the value of syndromic surveillance in detecting emerging diseases. Nurses should recognize unusual symptom clusters and escalate concerns to infection prevention teams.</w:t>
      </w:r>
    </w:p>
    <w:p>
      <w:r>
        <w:t xml:space="preserve">Positive Marks: 1</w:t>
      </w:r>
    </w:p>
    <w:p>
      <w:r>
        <w:t xml:space="preserve">Negative Marks: 0.33</w:t>
      </w:r>
    </w:p>
    <w:p/>
    <w:p>
      <w:r>
        <w:rPr>
          <w:b/>
        </w:rPr>
        <w:t xml:space="preserve">Question: A patient with COVID-19 develops severe hypoxemia, elevated D-dimer, and markedly elevated inflammatory markers (IL-6, TNF-α, ferritin). The clinical picture suggests severe COVID-19 with hyperinflammation. What is the pathophysiologic mechanism underlying this 'cytokine storm'?</w:t>
      </w:r>
    </w:p>
    <w:p>
      <w:r>
        <w:t xml:space="preserve">(a) Direct viral destruction of lung tissue with mechanical airway obstruction</w:t>
      </w:r>
    </w:p>
    <w:p>
      <w:r>
        <w:t xml:space="preserve">(b) Uncontrolled innate immune response with excessive pro-inflammatory cytokine production leading to tissue damage and vascular dysfunction</w:t>
      </w:r>
    </w:p>
    <w:p>
      <w:r>
        <w:t xml:space="preserve">(c) Bacterial superinfection causing secondary pneumonia</w:t>
      </w:r>
    </w:p>
    <w:p>
      <w:r>
        <w:t xml:space="preserve">(d) Allergic reaction to viral antigens resembling anaphylaxis</w:t>
      </w:r>
    </w:p>
    <w:p>
      <w:r>
        <w:t xml:space="preserve">Answer: b</w:t>
      </w:r>
    </w:p>
    <w:p>
      <w:r>
        <w:t xml:space="preserve">Solution: Cytokine storm in severe COVID-19 involves dysregulated innate immunity with excessive IL-6, TNF-α, and other pro-inflammatory mediators causing endothelial damage, increased vascular permeability, thrombosis, and multi-organ dysfunction—not direct viral tissue destruction. Direct viral destruction (option A) is secondary to inflammation. Bacterial superinfection (option C) complicates but does not primarily drive cytokine storm. Allergic mechanisms (option D) do not explain the pattern. This understanding explains why immunosuppressive therapies (corticosteroids, IL-6 inhibitors) are beneficial in severe emerging viral infections.</w:t>
      </w:r>
    </w:p>
    <w:p>
      <w:r>
        <w:t xml:space="preserve">Positive Marks: 1</w:t>
      </w:r>
    </w:p>
    <w:p>
      <w:r>
        <w:t xml:space="preserve">Negative Marks: 0.33</w:t>
      </w:r>
    </w:p>
    <w:p/>
    <w:p>
      <w:r>
        <w:rPr>
          <w:b/>
        </w:rPr>
        <w:t xml:space="preserve">Question: Methicillin-resistant Staphylococcus aureus (MRSA), while not newly emerging, has undergone significant evolution with community-associated MRSA (CA-MRSA) causing skin infections and invasive disease in previously healthy individuals. What is the primary mechanism of methicillin resistance in MRSA?</w:t>
      </w:r>
    </w:p>
    <w:p>
      <w:r>
        <w:t xml:space="preserve">(a) Production of beta-lactamase enzyme that hydrolyzes beta-lactam bonds</w:t>
      </w:r>
    </w:p>
    <w:p>
      <w:r>
        <w:t xml:space="preserve">(b) Acquisition of mecA gene encoding altered penicillin-binding protein (PBP2a) with reduced beta-lactam affinity</w:t>
      </w:r>
    </w:p>
    <w:p>
      <w:r>
        <w:t xml:space="preserve">(c) Efflux pump activation removing antibiotics from bacterial cells</w:t>
      </w:r>
    </w:p>
    <w:p>
      <w:r>
        <w:t xml:space="preserve">(d) Enzymatic inactivation of methicillin through aminoglycoside modifying enzymes</w:t>
      </w:r>
    </w:p>
    <w:p>
      <w:r>
        <w:t xml:space="preserve">Answer: b</w:t>
      </w:r>
    </w:p>
    <w:p>
      <w:r>
        <w:t xml:space="preserve">Solution: MRSA resistance is primarily mediated by the mecA gene-encoded penicillin-binding protein 2a (PBP2a), which has reduced affinity for beta-lactam antibiotics, allowing continued cell wall synthesis despite drug exposure. Beta-lactamase (option A) causes ampicillin resistance, not methicillin resistance. Efflux pumps (option C) are secondary mechanisms. Aminoglycoside modifying enzymes (option D) are unrelated to beta-lactam resistance. This genetic mechanism explains why MRSA requires alternative antibiotics like vancomycin or linezolid. Understanding resistance mechanisms is essential for appropriate antibiotic stewardship in managing re-emerging MRSA infections.</w:t>
      </w:r>
    </w:p>
    <w:p>
      <w:r>
        <w:t xml:space="preserve">Positive Marks: 1</w:t>
      </w:r>
    </w:p>
    <w:p>
      <w:r>
        <w:t xml:space="preserve">Negative Marks: 0.33</w:t>
      </w:r>
    </w:p>
    <w:p/>
    <w:p>
      <w:r>
        <w:rPr>
          <w:b/>
        </w:rPr>
        <w:t xml:space="preserve">Question: Vancomycin-resistant Enterococcus (VRE) represents a concerning healthcare-associated re-emerging infection with limited treatment options. The primary infection control measure to prevent VRE transmission in healthcare facilities is:</w:t>
      </w:r>
    </w:p>
    <w:p>
      <w:r>
        <w:t xml:space="preserve">(a) Routine administration of vancomycin to all hospitalized patients</w:t>
      </w:r>
    </w:p>
    <w:p>
      <w:r>
        <w:t xml:space="preserve">(b) Standard and contact precautions, including hand hygiene, gloving, and environmental cleaning</w:t>
      </w:r>
    </w:p>
    <w:p>
      <w:r>
        <w:t xml:space="preserve">(c) Universal antibiotic prophylaxis for all healthcare workers</w:t>
      </w:r>
    </w:p>
    <w:p>
      <w:r>
        <w:t xml:space="preserve">(d) Isolation of all enterococcal isolates regardless of resistance pattern</w:t>
      </w:r>
    </w:p>
    <w:p>
      <w:r>
        <w:t xml:space="preserve">Answer: b</w:t>
      </w:r>
    </w:p>
    <w:p>
      <w:r>
        <w:t xml:space="preserve">Solution: Contact precautions (gloves, gowns) combined with rigorous hand hygiene and environmental disinfection are the cornerstone of VRE prevention, as the organism spreads through contaminated hands and surfaces. Routine vancomycin use (option A) drives further resistance and is inappropriate. Healthcare worker prophylaxis (option C) is ineffective and increases resistance. Universal isolation (option D) is unnecessary for susceptible strains. The CDC emphasizes contact precautions as primary prevention for VRE, and nurses must ensure consistent implementation including education on hand hygiene between patient contacts.</w:t>
      </w:r>
    </w:p>
    <w:p>
      <w:r>
        <w:t xml:space="preserve">Positive Marks: 1</w:t>
      </w:r>
    </w:p>
    <w:p>
      <w:r>
        <w:t xml:space="preserve">Negative Marks: 0.33</w:t>
      </w:r>
    </w:p>
    <w:p/>
    <w:p>
      <w:r>
        <w:rPr>
          <w:b/>
        </w:rPr>
        <w:t xml:space="preserve">Question: Antimicrobial resistance has emerged as a critical global health threat from pathogenic bacteria, fungi, and parasites. Which statement best describes why antimicrobial resistance is considered an emerging and escalating threat to public health?</w:t>
      </w:r>
    </w:p>
    <w:p>
      <w:r>
        <w:t xml:space="preserve">(a) Resistant organisms are biologically stronger and increase in size compared to susceptible organisms</w:t>
      </w:r>
    </w:p>
    <w:p>
      <w:r>
        <w:t xml:space="preserve">(b) Widespread antibiotic misuse, overuse in agriculture, and patient non-adherence to therapy drive selection and spread of resistance, limiting treatment options for serious infections</w:t>
      </w:r>
    </w:p>
    <w:p>
      <w:r>
        <w:t xml:space="preserve">(c) Resistance develops only in developed countries with advanced healthcare systems</w:t>
      </w:r>
    </w:p>
    <w:p>
      <w:r>
        <w:t xml:space="preserve">(d) Antimicrobial resistance affects only gram-positive bacteria and does not involve gram-negative organisms</w:t>
      </w:r>
    </w:p>
    <w:p>
      <w:r>
        <w:t xml:space="preserve">Answer: b</w:t>
      </w:r>
    </w:p>
    <w:p>
      <w:r>
        <w:t xml:space="preserve">Solution: Antimicrobial resistance emerges through selective pressure from irrational antibiotic use in humans and animals, poor infection control, and treatment non-adherence, allowing resistant organisms to proliferate and spread globally. Resistance does not confer biological strength or size advantages (option A); selection pressure drives spread. Resistance occurs worldwide regardless of development status (option C). Both gram-positive and gram-negative bacteria develop resistance (option D). The WHO declared antimicrobial resistance a top-10 global public health threat, with potential for untreatable infections. Nursing roles in antibiotic stewardship and infection control are crucial for mitigating this emerging crisis.</w:t>
      </w:r>
    </w:p>
    <w:p>
      <w:r>
        <w:t xml:space="preserve">Positive Marks: 1</w:t>
      </w:r>
    </w:p>
    <w:p>
      <w:r>
        <w:t xml:space="preserve">Negative Marks: 0.33</w:t>
      </w:r>
    </w:p>
    <w:p/>
    <w:p>
      <w:r>
        <w:rPr>
          <w:b/>
        </w:rPr>
        <w:t xml:space="preserve">Question: Nipah virus, identified in Malaysia in 1998-1999, represents an emerging zoonotic pathogen with high mortality rates (40-75%) and potential for human-to-human transmission. Pigs were the intermediate hosts in the original Malaysian outbreak. Currently, which animal is considered the natural reservoir for Nipah virus?</w:t>
      </w:r>
    </w:p>
    <w:p>
      <w:r>
        <w:t xml:space="preserve">(a) Fruit bats (Pteropus species) in Southeast Asia</w:t>
      </w:r>
    </w:p>
    <w:p>
      <w:r>
        <w:t xml:space="preserve">(b) Rodents in rice paddies of endemic regions</w:t>
      </w:r>
    </w:p>
    <w:p>
      <w:r>
        <w:t xml:space="preserve">(c) Monkeys and primates in rainforests</w:t>
      </w:r>
    </w:p>
    <w:p>
      <w:r>
        <w:t xml:space="preserve">(d) Avian species including domestic poultry</w:t>
      </w:r>
    </w:p>
    <w:p>
      <w:r>
        <w:t xml:space="preserve">Answer: a</w:t>
      </w:r>
    </w:p>
    <w:p>
      <w:r>
        <w:t xml:space="preserve">Solution: Pteropus fruit bats are the natural reservoir for Nipah virus in Southeast Asia, with spillover to pigs and then to humans occurring in Malaysia. Bats can shed virus without clinical illness, making them the maintained reservoir. Rodents (option B), primates (option C), and birds (option D) are not reservoirs, though they may become infected. Sporadic human infections in Bangladesh and India result from direct bat contact or consumption of date palm sap contaminated by bat urine. Understanding zoonotic reservoirs is essential for preventing emerging disease transmission and identifying high-risk exposure settings.</w:t>
      </w:r>
    </w:p>
    <w:p>
      <w:r>
        <w:t xml:space="preserve">Positive Marks: 1</w:t>
      </w:r>
    </w:p>
    <w:p>
      <w:r>
        <w:t xml:space="preserve">Negative Marks: 0.33</w:t>
      </w:r>
    </w:p>
    <w:sectPr>
      <w:pgSz w:w="11906" w:h="16838"/>
      <w:pgMar w:top="1134" w:right="1134" w:bottom="1134" w:left="1134"/>
    </w:sectPr>
  </w:body>
</w:document>
</file>