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INC guidelines, at what CD4+ T-cell count is a person diagnosed with AIDS in the context of HIV infection?</w:t>
      </w:r>
    </w:p>
    <w:p>
      <w:r>
        <w:t xml:space="preserve">(a) Less than 100 cells/mm³</w:t>
      </w:r>
    </w:p>
    <w:p>
      <w:r>
        <w:t xml:space="preserve">(b) Less than 200 cells/mm³</w:t>
      </w:r>
    </w:p>
    <w:p>
      <w:r>
        <w:t xml:space="preserve">(c) Less than 350 cells/mm³</w:t>
      </w:r>
    </w:p>
    <w:p>
      <w:r>
        <w:t xml:space="preserve">(d) Less than 500 cells/mm³</w:t>
      </w:r>
    </w:p>
    <w:p>
      <w:r>
        <w:t xml:space="preserve">Answer: b</w:t>
      </w:r>
    </w:p>
    <w:p>
      <w:r>
        <w:t xml:space="preserve">Solution: AIDS is defined as CD4+ count &lt;200 cells/mm³ or occurrence of an AIDS-defining illness in an HIV-positive person. A CD4 count &lt;200 indicates severe immunosuppression with high risk of opportunistic infections. &lt;100 is more severe but not the threshold. &lt;350 and &lt;500 are used for starting prophylaxis but not AIDS diagnosis. Mnemonic: 200 = AIDS threshold for initiation of OI prophylaxis and category for monitoring.</w:t>
      </w:r>
    </w:p>
    <w:p>
      <w:r>
        <w:t xml:space="preserve">Positive Marks: 1</w:t>
      </w:r>
    </w:p>
    <w:p>
      <w:r>
        <w:t xml:space="preserve">Negative Marks: 0.33</w:t>
      </w:r>
    </w:p>
    <w:p/>
    <w:p>
      <w:r>
        <w:rPr>
          <w:b/>
        </w:rPr>
        <w:t xml:space="preserve">Question: Which opportunistic infection requires prophylaxis in HIV patients with CD4 count less than 200 cells/mm³ in resource-limited settings like India?</w:t>
      </w:r>
    </w:p>
    <w:p>
      <w:r>
        <w:t xml:space="preserve">(a) Pneumocystis jirovecii pneumonia (PCP)</w:t>
      </w:r>
    </w:p>
    <w:p>
      <w:r>
        <w:t xml:space="preserve">(b) Tuberculosis</w:t>
      </w:r>
    </w:p>
    <w:p>
      <w:r>
        <w:t xml:space="preserve">(c) Cytomegalovirus retinitis</w:t>
      </w:r>
    </w:p>
    <w:p>
      <w:r>
        <w:t xml:space="preserve">(d) Cryptococcal meningitis</w:t>
      </w:r>
    </w:p>
    <w:p>
      <w:r>
        <w:t xml:space="preserve">Answer: b</w:t>
      </w:r>
    </w:p>
    <w:p>
      <w:r>
        <w:t xml:space="preserve">Solution: Tuberculosis (TB) is the most common opportunistic infection requiring prophylaxis in India due to high TB prevalence. Isoniazid preventive therapy (IPT) is recommended for all HIV-positive individuals with CD4 &lt;350 regardless of TB status. PCP is rare in India. CMV and cryptococcal infections require prophylaxis at CD4 &lt;50 and &lt;100 respectively. Key point: TB-HIV co-infection is the leading cause of death in resource-limited settings.</w:t>
      </w:r>
    </w:p>
    <w:p>
      <w:r>
        <w:t xml:space="preserve">Positive Marks: 1</w:t>
      </w:r>
    </w:p>
    <w:p>
      <w:r>
        <w:t xml:space="preserve">Negative Marks: 0.33</w:t>
      </w:r>
    </w:p>
    <w:p/>
    <w:p>
      <w:r>
        <w:rPr>
          <w:b/>
        </w:rPr>
        <w:t xml:space="preserve">Question: According to current INC guidelines, antiretroviral therapy (ART) should be initiated in HIV-positive patients irrespective of CD4 count based on which principle?</w:t>
      </w:r>
    </w:p>
    <w:p>
      <w:r>
        <w:t xml:space="preserve">(a) Treat all approach (Test and Treat strategy)</w:t>
      </w:r>
    </w:p>
    <w:p>
      <w:r>
        <w:t xml:space="preserve">(b) CD4 count less than 500 cells/mm³</w:t>
      </w:r>
    </w:p>
    <w:p>
      <w:r>
        <w:t xml:space="preserve">(c) Presence of AIDS-defining illness only</w:t>
      </w:r>
    </w:p>
    <w:p>
      <w:r>
        <w:t xml:space="preserve">(d) CD4 count less than 350 cells/mm³</w:t>
      </w:r>
    </w:p>
    <w:p>
      <w:r>
        <w:t xml:space="preserve">Answer: a</w:t>
      </w:r>
    </w:p>
    <w:p>
      <w:r>
        <w:t xml:space="preserve">Solution: Current guidelines recommend immediate ART initiation for all HIV-positive persons (Treat All or Test and Treat strategy) regardless of CD4 count to prevent disease progression and reduce transmission (U=U: Undetectable=Untransmittable). Previous guidelines used CD4 thresholds of 350 or 500, but these are now obsolete. This approach improves clinical outcomes and reduces transmission to sexual partners and vertical transmission.</w:t>
      </w:r>
    </w:p>
    <w:p>
      <w:r>
        <w:t xml:space="preserve">Positive Marks: 1</w:t>
      </w:r>
    </w:p>
    <w:p>
      <w:r>
        <w:t xml:space="preserve">Negative Marks: 0.33</w:t>
      </w:r>
    </w:p>
    <w:p/>
    <w:p>
      <w:r>
        <w:rPr>
          <w:b/>
        </w:rPr>
        <w:t xml:space="preserve">Question: What is the maximum window period for administering post-exposure prophylaxis (PEP) after potential HIV exposure?</w:t>
      </w:r>
    </w:p>
    <w:p>
      <w:r>
        <w:t xml:space="preserve">(a) 24 hours</w:t>
      </w:r>
    </w:p>
    <w:p>
      <w:r>
        <w:t xml:space="preserve">(b) 48 hours</w:t>
      </w:r>
    </w:p>
    <w:p>
      <w:r>
        <w:t xml:space="preserve">(c) 72 hours</w:t>
      </w:r>
    </w:p>
    <w:p>
      <w:r>
        <w:t xml:space="preserve">(d) 7 days</w:t>
      </w:r>
    </w:p>
    <w:p>
      <w:r>
        <w:t xml:space="preserve">Answer: c</w:t>
      </w:r>
    </w:p>
    <w:p>
      <w:r>
        <w:t xml:space="preserve">Solution: Post-exposure prophylaxis (PEP) must be initiated within 72 hours (3 days) of potential exposure to HIV for maximum efficacy. Earlier initiation (&lt;2 hours) is more effective than delayed doses. The efficacy decreases significantly after 72 hours. PEP typically consists of 28 days of antiretroviral combination therapy. Mnemonic: 72 hours = 3 days window; beyond this, PEP is not recommended as efficacy is negligible.</w:t>
      </w:r>
    </w:p>
    <w:p>
      <w:r>
        <w:t xml:space="preserve">Positive Marks: 1</w:t>
      </w:r>
    </w:p>
    <w:p>
      <w:r>
        <w:t xml:space="preserve">Negative Marks: 0.33</w:t>
      </w:r>
    </w:p>
    <w:p/>
    <w:p>
      <w:r>
        <w:rPr>
          <w:b/>
        </w:rPr>
        <w:t xml:space="preserve">Question: Which drug interaction is most critical to monitor when co-administering rifampicin for tuberculosis treatment with nevirapine-based ART in an HIV-TB co-infected patient?</w:t>
      </w:r>
    </w:p>
    <w:p>
      <w:r>
        <w:t xml:space="preserve">(a) Increased hepatotoxicity and decreased nevirapine levels</w:t>
      </w:r>
    </w:p>
    <w:p>
      <w:r>
        <w:t xml:space="preserve">(b) Increased nevirapine levels leading to toxicity</w:t>
      </w:r>
    </w:p>
    <w:p>
      <w:r>
        <w:t xml:space="preserve">(c) Rifampicin resistance due to subtherapeutic ART levels</w:t>
      </w:r>
    </w:p>
    <w:p>
      <w:r>
        <w:t xml:space="preserve">(d) Decreased rifampicin efficacy with increased TB resistance</w:t>
      </w:r>
    </w:p>
    <w:p>
      <w:r>
        <w:t xml:space="preserve">Answer: a</w:t>
      </w:r>
    </w:p>
    <w:p>
      <w:r>
        <w:t xml:space="preserve">Solution: Rifampicin is a potent inducer of cytochrome P450 enzymes, significantly reducing plasma levels of nevirapine (NNRTI) by 37-50%, leading to subtherapeutic drug levels and treatment failure. Both drugs are hepatotoxic, increasing risk of hepatotoxicity. Management: substitute nevirapine with efavirenz or use protease inhibitors with ritonavir boosting. Avoid using rifampicin with NNRTIs when possible. This is a critical interaction in TB-HIV co-infection management in resource-limited settings.</w:t>
      </w:r>
    </w:p>
    <w:p>
      <w:r>
        <w:t xml:space="preserve">Positive Marks: 1</w:t>
      </w:r>
    </w:p>
    <w:p>
      <w:r>
        <w:t xml:space="preserve">Negative Marks: 0.33</w:t>
      </w:r>
    </w:p>
    <w:p/>
    <w:p>
      <w:r>
        <w:rPr>
          <w:b/>
        </w:rPr>
        <w:t xml:space="preserve">Question: In an HIV-positive patient with CD4 count between 200-350 cells/mm³, what is the recommended frequency for CD4 monitoring?</w:t>
      </w:r>
    </w:p>
    <w:p>
      <w:r>
        <w:t xml:space="preserve">(a) Every month</w:t>
      </w:r>
    </w:p>
    <w:p>
      <w:r>
        <w:t xml:space="preserve">(b) Every 3 months</w:t>
      </w:r>
    </w:p>
    <w:p>
      <w:r>
        <w:t xml:space="preserve">(c) Every 6 months</w:t>
      </w:r>
    </w:p>
    <w:p>
      <w:r>
        <w:t xml:space="preserve">(d) Every 12 months</w:t>
      </w:r>
    </w:p>
    <w:p>
      <w:r>
        <w:t xml:space="preserve">Answer: b</w:t>
      </w:r>
    </w:p>
    <w:p>
      <w:r>
        <w:t xml:space="preserve">Solution: CD4 monitoring frequency depends on immune status: CD4 &lt;200 requires monitoring every 3 months; CD4 200-350 requires every 3 months; CD4 &gt;350 on ART requires every 3-6 months if viral load suppressed. Frequent monitoring at lower CD4 counts helps detect opportunistic infections early and assess treatment response. After immune reconstitution (CD4 &gt;350 for &gt;3 months), monitoring can be less frequent if viral load is suppressed.</w:t>
      </w:r>
    </w:p>
    <w:p>
      <w:r>
        <w:t xml:space="preserve">Positive Marks: 1</w:t>
      </w:r>
    </w:p>
    <w:p>
      <w:r>
        <w:t xml:space="preserve">Negative Marks: 0.33</w:t>
      </w:r>
    </w:p>
    <w:p/>
    <w:p>
      <w:r>
        <w:rPr>
          <w:b/>
        </w:rPr>
        <w:t xml:space="preserve">Question: Why is adherence to antiretroviral therapy maintained above 90% crucial in HIV management?</w:t>
      </w:r>
    </w:p>
    <w:p>
      <w:r>
        <w:t xml:space="preserve">(a) To prevent immune reconstitution inflammatory syndrome (IRIS)</w:t>
      </w:r>
    </w:p>
    <w:p>
      <w:r>
        <w:t xml:space="preserve">(b) To achieve and maintain undetectable viral load and prevent drug resistance</w:t>
      </w:r>
    </w:p>
    <w:p>
      <w:r>
        <w:t xml:space="preserve">(c) To reduce the cost of treatment</w:t>
      </w:r>
    </w:p>
    <w:p>
      <w:r>
        <w:t xml:space="preserve">(d) To minimize side effects of medications</w:t>
      </w:r>
    </w:p>
    <w:p>
      <w:r>
        <w:t xml:space="preserve">Answer: b</w:t>
      </w:r>
    </w:p>
    <w:p>
      <w:r>
        <w:t xml:space="preserve">Solution: Adherence &gt;90% is essential to maintain virological suppression (undetectable viral load &lt;50 copies/mL), prevent emergence of drug-resistant strains, and achieve durable immune reconstitution. Sub-optimal adherence leads to detectable viral loads, risk of resistance mutations, and treatment failure. Studies show that adherence &gt;90% correlates with sustained CD4 recovery and improved clinical outcomes. The principle U=U (Undetectable=Untransmittable) requires consistent adherence to maintain undetectable status.</w:t>
      </w:r>
    </w:p>
    <w:p>
      <w:r>
        <w:t xml:space="preserve">Positive Marks: 1</w:t>
      </w:r>
    </w:p>
    <w:p>
      <w:r>
        <w:t xml:space="preserve">Negative Marks: 0.33</w:t>
      </w:r>
    </w:p>
    <w:p/>
    <w:p>
      <w:r>
        <w:rPr>
          <w:b/>
        </w:rPr>
        <w:t xml:space="preserve">Question: Which micronutrient supplementation is recommended as an adjunctive measure in HIV-positive patients with low CD4 counts to improve immune function and reduce infection risk?</w:t>
      </w:r>
    </w:p>
    <w:p>
      <w:r>
        <w:t xml:space="preserve">(a) Vitamin D and Vitamin A alone</w:t>
      </w:r>
    </w:p>
    <w:p>
      <w:r>
        <w:t xml:space="preserve">(b) Vitamin B complex, Vitamin C, and Zinc supplementation</w:t>
      </w:r>
    </w:p>
    <w:p>
      <w:r>
        <w:t xml:space="preserve">(c) Zinc supplementation only</w:t>
      </w:r>
    </w:p>
    <w:p>
      <w:r>
        <w:t xml:space="preserve">(d) Iron and Calcium supplementation exclusively</w:t>
      </w:r>
    </w:p>
    <w:p>
      <w:r>
        <w:t xml:space="preserve">Answer: b</w:t>
      </w:r>
    </w:p>
    <w:p>
      <w:r>
        <w:t xml:space="preserve">Solution: Vitamin B complex (especially B12 and folate), Vitamin C, and Zinc are recommended as adjunctive nutritional support in HIV patients with CD4 &lt;200. These micronutrients support immune function and reduce oxidative stress. Vitamin A supplementation in vitamin A-deficient patients reduces mortality in children. Balanced nutrition with adequate protein, carbohydrates, and all essential micronutrients is crucial. Nutritional counseling and management of weight loss and wasting are integral to comprehensive HIV care.</w:t>
      </w:r>
    </w:p>
    <w:p>
      <w:r>
        <w:t xml:space="preserve">Positive Marks: 1</w:t>
      </w:r>
    </w:p>
    <w:p>
      <w:r>
        <w:t xml:space="preserve">Negative Marks: 0.33</w:t>
      </w:r>
    </w:p>
    <w:p/>
    <w:p>
      <w:r>
        <w:rPr>
          <w:b/>
        </w:rPr>
        <w:t xml:space="preserve">Question: What is the most appropriate precautionary measure to prevent transmission of HIV in a healthcare setting when caring for an HIV-positive patient undergoing a surgical procedure?</w:t>
      </w:r>
    </w:p>
    <w:p>
      <w:r>
        <w:t xml:space="preserve">(a) Use isolation precautions for all HIV patients regardless of other infections</w:t>
      </w:r>
    </w:p>
    <w:p>
      <w:r>
        <w:t xml:space="preserve">(b) Apply universal/standard precautions to all patients regardless of HIV status</w:t>
      </w:r>
    </w:p>
    <w:p>
      <w:r>
        <w:t xml:space="preserve">(c) Implement airborne precautions as additional measure</w:t>
      </w:r>
    </w:p>
    <w:p>
      <w:r>
        <w:t xml:space="preserve">(d) Use contact precautions in addition to standard precautions</w:t>
      </w:r>
    </w:p>
    <w:p>
      <w:r>
        <w:t xml:space="preserve">Answer: b</w:t>
      </w:r>
    </w:p>
    <w:p>
      <w:r>
        <w:t xml:space="preserve">Solution: Standard precautions (now called Universal Precautions) based on treating all blood and body fluids as potentially infectious regardless of HIV status are sufficient to prevent HIV transmission in healthcare settings. Additional isolation is not required for HIV-positive patients alone. Standard precautions include hand hygiene, use of PPE (gloves, masks, gowns), safe injection practices, and proper waste disposal. HIV is not transmitted through airborne or droplet routes; additional precautions are unnecessary unless the patient has concurrent transmissible infections like TB or measles.</w:t>
      </w:r>
    </w:p>
    <w:p>
      <w:r>
        <w:t xml:space="preserve">Positive Marks: 1</w:t>
      </w:r>
    </w:p>
    <w:p>
      <w:r>
        <w:t xml:space="preserve">Negative Marks: 0.33</w:t>
      </w:r>
    </w:p>
    <w:p/>
    <w:p>
      <w:r>
        <w:rPr>
          <w:b/>
        </w:rPr>
        <w:t xml:space="preserve">Question: Which psychosocial intervention is most critical in the initial management phase of an HIV-diagnosed patient to promote acceptance and adherence to treatment?</w:t>
      </w:r>
    </w:p>
    <w:p>
      <w:r>
        <w:t xml:space="preserve">(a) Immediate disclosure to all family members and community</w:t>
      </w:r>
    </w:p>
    <w:p>
      <w:r>
        <w:t xml:space="preserve">(b) Counseling on acceptance, coping strategies, and support systems; addressing stigma and discrimination</w:t>
      </w:r>
    </w:p>
    <w:p>
      <w:r>
        <w:t xml:space="preserve">(c) Mandatory participation in support groups before ART initiation</w:t>
      </w:r>
    </w:p>
    <w:p>
      <w:r>
        <w:t xml:space="preserve">(d) Psychological medication prescription to manage depression</w:t>
      </w:r>
    </w:p>
    <w:p>
      <w:r>
        <w:t xml:space="preserve">Answer: b</w:t>
      </w:r>
    </w:p>
    <w:p>
      <w:r>
        <w:t xml:space="preserve">Solution: Comprehensive counseling addressing psychological impact, coping mechanisms, support systems, and combating internalized stigma is foundational to HIV management. Pre-test and post-test counseling, informed consent, and ongoing psychosocial support improve treatment adherence and quality of life. Disclosure decisions should be individualized with counselor support, not mandatory. While support groups are beneficial, they are not mandatory before ART. Psychosocial support often prevents need for psychotropic medication by addressing root causes of distress.</w:t>
      </w:r>
    </w:p>
    <w:p>
      <w:r>
        <w:t xml:space="preserve">Positive Marks: 1</w:t>
      </w:r>
    </w:p>
    <w:p>
      <w:r>
        <w:t xml:space="preserve">Negative Marks: 0.33</w:t>
      </w:r>
    </w:p>
    <w:p/>
    <w:p>
      <w:r>
        <w:rPr>
          <w:b/>
        </w:rPr>
        <w:t xml:space="preserve">Question: Which class of antiretroviral drug is most likely to cause mitochondrial toxicity manifesting as peripheral neuropathy and pancreatitis in long-term HIV therapy?</w:t>
      </w:r>
    </w:p>
    <w:p>
      <w:r>
        <w:t xml:space="preserve">(a) Protease inhibitors (PIs)</w:t>
      </w:r>
    </w:p>
    <w:p>
      <w:r>
        <w:t xml:space="preserve">(b) Nucleoside reverse transcriptase inhibitors (NRTIs), especially stavudine and didanosine</w:t>
      </w:r>
    </w:p>
    <w:p>
      <w:r>
        <w:t xml:space="preserve">(c) Non-nucleoside reverse transcriptase inhibitors (NNRTIs)</w:t>
      </w:r>
    </w:p>
    <w:p>
      <w:r>
        <w:t xml:space="preserve">(d) Integrase strand transfer inhibitors (INSTIs)</w:t>
      </w:r>
    </w:p>
    <w:p>
      <w:r>
        <w:t xml:space="preserve">Answer: b</w:t>
      </w:r>
    </w:p>
    <w:p>
      <w:r>
        <w:t xml:space="preserve">Solution: NRTIs, particularly stavudine (d4T) and didanosine (ddI), cause mitochondrial toxicity by interfering with mitochondrial DNA replication, leading to peripheral neuropathy, pancreatitis, and lactic acidosis. Stavudine is now phased out in many countries due to these toxicities and lipodystrophy. Lamivudine and tenofovir have better safety profiles. Management includes switching to less toxic alternatives. Monitoring for symptoms and regular laboratory monitoring (lactate, amylase) is essential when using these drugs.</w:t>
      </w:r>
    </w:p>
    <w:p>
      <w:r>
        <w:t xml:space="preserve">Positive Marks: 1</w:t>
      </w:r>
    </w:p>
    <w:p>
      <w:r>
        <w:t xml:space="preserve">Negative Marks: 0.33</w:t>
      </w:r>
    </w:p>
    <w:p/>
    <w:p>
      <w:r>
        <w:rPr>
          <w:b/>
        </w:rPr>
        <w:t xml:space="preserve">Question: What is the essential component of pre-ART counseling that ensures ethical practice and treatment success in HIV management?</w:t>
      </w:r>
    </w:p>
    <w:p>
      <w:r>
        <w:t xml:space="preserve">(a) Obtaining verbal consent only without documentation</w:t>
      </w:r>
    </w:p>
    <w:p>
      <w:r>
        <w:t xml:space="preserve">(b) Informed consent through detailed discussion of treatment benefits, risks, side effects, adherence requirements, and alternative options</w:t>
      </w:r>
    </w:p>
    <w:p>
      <w:r>
        <w:t xml:space="preserve">(c) Prescribing ART immediately without counseling if CD4 &lt;200</w:t>
      </w:r>
    </w:p>
    <w:p>
      <w:r>
        <w:t xml:space="preserve">(d) Counseling only on medication schedule without discussing side effects</w:t>
      </w:r>
    </w:p>
    <w:p>
      <w:r>
        <w:t xml:space="preserve">Answer: b</w:t>
      </w:r>
    </w:p>
    <w:p>
      <w:r>
        <w:t xml:space="preserve">Solution: Informed consent requires comprehensive discussion of treatment benefits, potential side effects, drug interactions, adherence requirements, monitoring schedule, and available alternatives. Documented informed consent ensures ethical practice and legal protection. Counseling addresses patient autonomy and prepares them for treatment-related challenges. Early counseling improves adherence rates and reduces treatment discontinuation. This is mandated by INC guidelines and international standards for HIV care.</w:t>
      </w:r>
    </w:p>
    <w:p>
      <w:r>
        <w:t xml:space="preserve">Positive Marks: 1</w:t>
      </w:r>
    </w:p>
    <w:p>
      <w:r>
        <w:t xml:space="preserve">Negative Marks: 0.33</w:t>
      </w:r>
    </w:p>
    <w:p/>
    <w:p>
      <w:r>
        <w:rPr>
          <w:b/>
        </w:rPr>
        <w:t xml:space="preserve">Question: What is Immune Reconstitution Inflammatory Syndrome (IRIS) and how should it be managed in an HIV patient with CD4 count &lt;50 who develops tuberculosis after starting ART?</w:t>
      </w:r>
    </w:p>
    <w:p>
      <w:r>
        <w:t xml:space="preserve">(a) Discontinue ART immediately and restart after recovery</w:t>
      </w:r>
    </w:p>
    <w:p>
      <w:r>
        <w:t xml:space="preserve">(b) A paradoxical worsening of existing infection or new opportunistic infection due to immune recovery; manage with NSAIDs/corticosteroids while continuing ART</w:t>
      </w:r>
    </w:p>
    <w:p>
      <w:r>
        <w:t xml:space="preserve">(c) A sign of ART failure requiring immediate regimen change</w:t>
      </w:r>
    </w:p>
    <w:p>
      <w:r>
        <w:t xml:space="preserve">(d) An adverse drug reaction unrelated to immune recovery</w:t>
      </w:r>
    </w:p>
    <w:p>
      <w:r>
        <w:t xml:space="preserve">Answer: b</w:t>
      </w:r>
    </w:p>
    <w:p>
      <w:r>
        <w:t xml:space="preserve">Solution: IRIS occurs when immune function rapidly recovers with ART initiation in severely immunosuppressed patients, triggering excessive inflammatory response to opportunistic infections (TB-IRIS is most common in resource-limited settings). Management: continue ART (essential for long-term control), use NSAIDs for mild cases, or corticosteroids (prednisone) for severe manifestations, delay TB treatment initiation timing based on CD4 count (&gt;50 safer), and immunosuppressive therapy if necessary. Discontinuing ART worsens outcomes and risks resistance development.</w:t>
      </w:r>
    </w:p>
    <w:p>
      <w:r>
        <w:t xml:space="preserve">Positive Marks: 1</w:t>
      </w:r>
    </w:p>
    <w:p>
      <w:r>
        <w:t xml:space="preserve">Negative Marks: 0.33</w:t>
      </w:r>
    </w:p>
    <w:p/>
    <w:p>
      <w:r>
        <w:rPr>
          <w:b/>
        </w:rPr>
        <w:t xml:space="preserve">Question: A patient on ART develops facial fat loss, abdominal fat deposition, and elevated lipids. Which medication class is most likely responsible for this lipodystrophy syndrome?</w:t>
      </w:r>
    </w:p>
    <w:p>
      <w:r>
        <w:t xml:space="preserve">(a) Integrase inhibitors</w:t>
      </w:r>
    </w:p>
    <w:p>
      <w:r>
        <w:t xml:space="preserve">(b) Nucleoside reverse transcriptase inhibitors (NRTIs) and Protease inhibitors (PIs), particularly stavudine and ritonavir-boosted PIs</w:t>
      </w:r>
    </w:p>
    <w:p>
      <w:r>
        <w:t xml:space="preserve">(c) Non-nucleoside reverse transcriptase inhibitors (NNRTIs)</w:t>
      </w:r>
    </w:p>
    <w:p>
      <w:r>
        <w:t xml:space="preserve">(d) Fusion inhibitors</w:t>
      </w:r>
    </w:p>
    <w:p>
      <w:r>
        <w:t xml:space="preserve">Answer: b</w:t>
      </w:r>
    </w:p>
    <w:p>
      <w:r>
        <w:t xml:space="preserve">Solution: Lipodystrophy (fat redistribution and metabolic complications) is associated with older NRTIs (stavudine, zidovudine) and protease inhibitors, especially ritonavir-boosted regimens. Symptoms include facial wasting, central fat accumulation, and dyslipidemia. Management: switch to less lipodystrophic agents (tenofovir-based, integrase inhibitors). Aesthetic procedures like facial fillers may be offered. Newer antiretrovirals (INSTIs, newer NNRTIs) have lower lipodystrophy risk. This is a significant cause of non-adherence due to social stigma.</w:t>
      </w:r>
    </w:p>
    <w:p>
      <w:r>
        <w:t xml:space="preserve">Positive Marks: 1</w:t>
      </w:r>
    </w:p>
    <w:p>
      <w:r>
        <w:t xml:space="preserve">Negative Marks: 0.33</w:t>
      </w:r>
    </w:p>
    <w:p/>
    <w:p>
      <w:r>
        <w:rPr>
          <w:b/>
        </w:rPr>
        <w:t xml:space="preserve">Question: How is virological failure defined in HIV-positive patients on antiretroviral therapy according to WHO/INC guidelines?</w:t>
      </w:r>
    </w:p>
    <w:p>
      <w:r>
        <w:t xml:space="preserve">(a) Viral load &gt;50 copies/mL at any single measurement</w:t>
      </w:r>
    </w:p>
    <w:p>
      <w:r>
        <w:t xml:space="preserve">(b) Persistent viral load &gt;1000 copies/mL after 24 weeks of ART or detectable viral load (&gt;50 copies/mL) after initial suppression</w:t>
      </w:r>
    </w:p>
    <w:p>
      <w:r>
        <w:t xml:space="preserve">(c) Any increase in viral load from baseline regardless of ART adherence</w:t>
      </w:r>
    </w:p>
    <w:p>
      <w:r>
        <w:t xml:space="preserve">(d) Viral load &gt;100 copies/mL after 12 weeks of therapy</w:t>
      </w:r>
    </w:p>
    <w:p>
      <w:r>
        <w:t xml:space="preserve">Answer: b</w:t>
      </w:r>
    </w:p>
    <w:p>
      <w:r>
        <w:t xml:space="preserve">Solution: Virological failure is defined as inability to achieve viral suppression or viral rebound with persistent VL &gt;1000 copies/mL after 24 weeks of ART, or confirmed detectable VL (&gt;50 copies/mL) after initial suppression. Transient viremia &lt;50-200 copies/mL may occur (blips) without indicating failure. Management requires: assess adherence, perform resistance testing, and consider regimen switch. Early detection through regular VL monitoring (baseline, 4-8 weeks, then 6-monthly) enables timely intervention.</w:t>
      </w:r>
    </w:p>
    <w:p>
      <w:r>
        <w:t xml:space="preserve">Positive Marks: 1</w:t>
      </w:r>
    </w:p>
    <w:p>
      <w:r>
        <w:t xml:space="preserve">Negative Marks: 0.33</w:t>
      </w:r>
    </w:p>
    <w:p/>
    <w:p>
      <w:r>
        <w:rPr>
          <w:b/>
        </w:rPr>
        <w:t xml:space="preserve">Question: In an HIV patient with virological failure on first-line ART, when should resistance testing be performed and which drug class switching is recommended?</w:t>
      </w:r>
    </w:p>
    <w:p>
      <w:r>
        <w:t xml:space="preserve">(a) Resistance testing not necessary; immediately switch all drugs</w:t>
      </w:r>
    </w:p>
    <w:p>
      <w:r>
        <w:t xml:space="preserve">(b) Perform genotypic resistance testing at VL &gt;1000 copies/mL; switch to second-line regimen based on resistance pattern (usually boosted PI-based)</w:t>
      </w:r>
    </w:p>
    <w:p>
      <w:r>
        <w:t xml:space="preserve">(c) Resistance testing only if CD4 &lt;200</w:t>
      </w:r>
    </w:p>
    <w:p>
      <w:r>
        <w:t xml:space="preserve">(d) Switch to third-line therapy without resistance testing to avoid delay</w:t>
      </w:r>
    </w:p>
    <w:p>
      <w:r>
        <w:t xml:space="preserve">Answer: b</w:t>
      </w:r>
    </w:p>
    <w:p>
      <w:r>
        <w:t xml:space="preserve">Solution: Genotypic resistance testing at VL &gt;1000 copies/mL guides rational regimen switching and prevents use of ineffective drugs. Common resistance patterns direct second-line therapy: boosted PI (lopinavir/ritonavir or darunavir/ritonavir) combined with NRTIs without prior resistance. Sequencing matters: avoid drugs to which resistance exists. Regular VL monitoring enables early detection (within 3-6 months). Adherence assessment and counseling are concurrent. Resistance testing ensures cost-effective treatment and prevents rapid accumulation of additional mutations.</w:t>
      </w:r>
    </w:p>
    <w:p>
      <w:r>
        <w:t xml:space="preserve">Positive Marks: 1</w:t>
      </w:r>
    </w:p>
    <w:p>
      <w:r>
        <w:t xml:space="preserve">Negative Marks: 0.33</w:t>
      </w:r>
    </w:p>
    <w:p/>
    <w:p>
      <w:r>
        <w:rPr>
          <w:b/>
        </w:rPr>
        <w:t xml:space="preserve">Question: An HIV-positive patient on first-line NRTI-NNRTI regimen develops virological failure with resistance to both classes. What is the appropriate next step in management?</w:t>
      </w:r>
    </w:p>
    <w:p>
      <w:r>
        <w:t xml:space="preserve">(a) Continue current regimen with dose increase</w:t>
      </w:r>
    </w:p>
    <w:p>
      <w:r>
        <w:t xml:space="preserve">(b) Switch to second-line protease inhibitor-based regimen (e.g., lopinavir/ritonavir + 2 NRTIs based on resistance profile)</w:t>
      </w:r>
    </w:p>
    <w:p>
      <w:r>
        <w:t xml:space="preserve">(c) Discontinue all ART temporarily to reset the virus</w:t>
      </w:r>
    </w:p>
    <w:p>
      <w:r>
        <w:t xml:space="preserve">(d) Add a third NRTI without changing the regimen</w:t>
      </w:r>
    </w:p>
    <w:p>
      <w:r>
        <w:t xml:space="preserve">Answer: b</w:t>
      </w:r>
    </w:p>
    <w:p>
      <w:r>
        <w:t xml:space="preserve">Solution: Second-line therapy requires switch to a boosted protease inhibitor (lopinavir/r or darunavir/r) combined with 2 NRTIs chosen based on resistance testing results. This regimen overcomes NNRTI resistance and most NRTI resistance through higher genetic barrier to resistance. Continuing failed regimen leads to accumulation of mutations and treatment failure. Temporary discontinuation risks opportunistic infections and rapid disease progression. Adding agents without resistance coverage is ineffective. Regular monitoring and adherence support are essential.</w:t>
      </w:r>
    </w:p>
    <w:p>
      <w:r>
        <w:t xml:space="preserve">Positive Marks: 1</w:t>
      </w:r>
    </w:p>
    <w:p>
      <w:r>
        <w:t xml:space="preserve">Negative Marks: 0.33</w:t>
      </w:r>
    </w:p>
    <w:p/>
    <w:p>
      <w:r>
        <w:rPr>
          <w:b/>
        </w:rPr>
        <w:t xml:space="preserve">Question: What is the recommended approach for preventing and managing opportunistic infections in an HIV patient with CD4 count between 100-200 cells/mm³ after immune recovery on ART?</w:t>
      </w:r>
    </w:p>
    <w:p>
      <w:r>
        <w:t xml:space="preserve">(a) Continue all OI prophylaxis indefinitely regardless of CD4 recovery</w:t>
      </w:r>
    </w:p>
    <w:p>
      <w:r>
        <w:t xml:space="preserve">(b) Discontinue OI prophylaxis immediately once ART is started</w:t>
      </w:r>
    </w:p>
    <w:p>
      <w:r>
        <w:t xml:space="preserve">(c) Continue prophylaxis until CD4 &gt;200 for ≥3 months, then reassess for discontinuation</w:t>
      </w:r>
    </w:p>
    <w:p>
      <w:r>
        <w:t xml:space="preserve">(d) Use prophylaxis only during acute illness episodes</w:t>
      </w:r>
    </w:p>
    <w:p>
      <w:r>
        <w:t xml:space="preserve">Answer: c</w:t>
      </w:r>
    </w:p>
    <w:p>
      <w:r>
        <w:t xml:space="preserve">Solution: OI prophylaxis duration depends on immune recovery: continue prophylaxis until CD4 &gt;200 cells/mm³ for at least 3 consecutive months while on suppressive ART (VL &lt;50 copies/mL). Premature discontinuation risks OI recurrence; indefinite prophylaxis exposes patients to unnecessary drugs and costs. Discontinuation criteria: CD4 &gt;200 ×3 months, on ART, VL suppressed. Monitoring continues post-discontinuation. This strategy balances infection prevention with treatment optimization and resource efficiency.</w:t>
      </w:r>
    </w:p>
    <w:p>
      <w:r>
        <w:t xml:space="preserve">Positive Marks: 1</w:t>
      </w:r>
    </w:p>
    <w:p>
      <w:r>
        <w:t xml:space="preserve">Negative Marks: 0.33</w:t>
      </w:r>
    </w:p>
    <w:p/>
    <w:p>
      <w:r>
        <w:rPr>
          <w:b/>
        </w:rPr>
        <w:t xml:space="preserve">Question: In an HIV-TB co-infected patient, TB-IRIS is suspected when fever, lymphadenitis, and worsening respiratory symptoms develop 2 weeks after starting ART. What is the most appropriate management approach?</w:t>
      </w:r>
    </w:p>
    <w:p>
      <w:r>
        <w:t xml:space="preserve">(a) Discontinue both ART and TB treatment immediately</w:t>
      </w:r>
    </w:p>
    <w:p>
      <w:r>
        <w:t xml:space="preserve">(b) Discontinue ART only; continue TB treatment</w:t>
      </w:r>
    </w:p>
    <w:p>
      <w:r>
        <w:t xml:space="preserve">(c) Continue both ART and TB treatment; consider corticosteroid therapy (prednisone) if manifestations are severe</w:t>
      </w:r>
    </w:p>
    <w:p>
      <w:r>
        <w:t xml:space="preserve">(d) Switch to alternative TB regimen and increase ART drugs</w:t>
      </w:r>
    </w:p>
    <w:p>
      <w:r>
        <w:t xml:space="preserve">Answer: c</w:t>
      </w:r>
    </w:p>
    <w:p>
      <w:r>
        <w:t xml:space="preserve">Solution: TB-IRIS management requires continuing both ART and TB therapy (essential for long-term cure) while managing inflammatory symptoms with NSAIDs or corticosteroids (prednisone 0.5-1 mg/kg/day tapered over 4-6 weeks) in severe cases. Paradoxical worsening occurs due to immune recovery and is usually self-limited. Discontinuing ART worsens outcomes, increases TB resistance risk, and risks disseminated TB. Immune recovery is therapeutic goal. Close clinical and radiological monitoring guides management decisions and corticosteroid duration.</w:t>
      </w:r>
    </w:p>
    <w:p>
      <w:r>
        <w:t xml:space="preserve">Positive Marks: 1</w:t>
      </w:r>
    </w:p>
    <w:p>
      <w:r>
        <w:t xml:space="preserve">Negative Marks: 0.33</w:t>
      </w:r>
    </w:p>
    <w:p/>
    <w:p>
      <w:r>
        <w:rPr>
          <w:b/>
        </w:rPr>
        <w:t xml:space="preserve">Question: According to the principle 'U=U' (Undetectable equals Untransmittable), what is the viral load threshold required to consider an HIV-positive person non-infectious to sexual partners?</w:t>
      </w:r>
    </w:p>
    <w:p>
      <w:r>
        <w:t xml:space="preserve">(a) Viral load &lt;200 copies/mL</w:t>
      </w:r>
    </w:p>
    <w:p>
      <w:r>
        <w:t xml:space="preserve">(b) Viral load &lt;100 copies/mL</w:t>
      </w:r>
    </w:p>
    <w:p>
      <w:r>
        <w:t xml:space="preserve">(c) Viral load &lt;50 copies/mL (Undetectable)</w:t>
      </w:r>
    </w:p>
    <w:p>
      <w:r>
        <w:t xml:space="preserve">(d) Viral load &lt;20 copies/mL</w:t>
      </w:r>
    </w:p>
    <w:p>
      <w:r>
        <w:t xml:space="preserve">Answer: c</w:t>
      </w:r>
    </w:p>
    <w:p>
      <w:r>
        <w:t xml:space="preserve">Solution: U=U principle states that an HIV-positive person with undetectable viral load (&lt;50 copies/mL maintained on ART) has zero risk of sexually transmitting HIV to partners (sexual transmission is prevented). This is supported by PARTNER and PARTNER2 studies with zero transmissions despite thousands of condomless sex acts. Undetectable status requires consistent ART adherence (&gt;90%). Regular VL monitoring confirms sustained suppression. This breakthrough reduces stigma, improves sexual health outcomes, and supports Treatment as Prevention (TasP) strategy globally.</w:t>
      </w:r>
    </w:p>
    <w:p>
      <w:r>
        <w:t xml:space="preserve">Positive Marks: 1</w:t>
      </w:r>
    </w:p>
    <w:p>
      <w:r>
        <w:t xml:space="preserve">Negative Marks: 0.33</w:t>
      </w:r>
    </w:p>
    <w:sectPr>
      <w:pgSz w:w="11906" w:h="16838"/>
      <w:pgMar w:top="1134" w:right="1134" w:bottom="1134" w:left="1134"/>
    </w:sectPr>
  </w:body>
</w:document>
</file>