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approximate incidence of major congenital anomalies in live births globally?</w:t>
      </w:r>
    </w:p>
    <w:p>
      <w:r>
        <w:t xml:space="preserve">(a) 2-3%</w:t>
      </w:r>
    </w:p>
    <w:p>
      <w:r>
        <w:t xml:space="preserve">(b) 10-15%</w:t>
      </w:r>
    </w:p>
    <w:p>
      <w:r>
        <w:t xml:space="preserve">(c) 20-25%</w:t>
      </w:r>
    </w:p>
    <w:p>
      <w:r>
        <w:t xml:space="preserve">(d) 30-35%</w:t>
      </w:r>
    </w:p>
    <w:p>
      <w:r>
        <w:t xml:space="preserve">Answer: a</w:t>
      </w:r>
    </w:p>
    <w:p>
      <w:r>
        <w:t xml:space="preserve">Solution: Major congenital anomalies occur in approximately 2-3% of live births globally. Minor anomalies occur in 4-5% separately. Figures of 10-15% represent combined major and minor anomalies, while 20-25% and 30-35% are significantly overestimated. This epidemiological baseline is essential for accurate counseling and resource planning in newborn nursing care services.</w:t>
      </w:r>
    </w:p>
    <w:p>
      <w:r>
        <w:t xml:space="preserve">Positive Marks: 1</w:t>
      </w:r>
    </w:p>
    <w:p>
      <w:r>
        <w:t xml:space="preserve">Negative Marks: 0.33</w:t>
      </w:r>
    </w:p>
    <w:p/>
    <w:p>
      <w:r>
        <w:rPr>
          <w:b/>
        </w:rPr>
        <w:t xml:space="preserve">Question: Which of the following is the single most common congenital anomaly among live newborns?</w:t>
      </w:r>
    </w:p>
    <w:p>
      <w:r>
        <w:t xml:space="preserve">(a) Congenital heart defects</w:t>
      </w:r>
    </w:p>
    <w:p>
      <w:r>
        <w:t xml:space="preserve">(b) Cleft lip and palate</w:t>
      </w:r>
    </w:p>
    <w:p>
      <w:r>
        <w:t xml:space="preserve">(c) Neural tube defects</w:t>
      </w:r>
    </w:p>
    <w:p>
      <w:r>
        <w:t xml:space="preserve">(d) Polydactyly</w:t>
      </w:r>
    </w:p>
    <w:p>
      <w:r>
        <w:t xml:space="preserve">Answer: d</w:t>
      </w:r>
    </w:p>
    <w:p>
      <w:r>
        <w:t xml:space="preserve">Solution: Polydactyly (extra fingers or toes) is the most common congenital anomaly, occurring in approximately 1 in 500-1000 births, often with autosomal dominant inheritance. Congenital heart defects occur in 1 in 100-150 births; cleft lip/palate in 1 in 500-1000; neural tube defects in 1 in 1000 (geographic variation). Polydactyly is usually easily recognizable on neonatal examination, often benign, and may require surgical removal for cosmetic or functional reasons.</w:t>
      </w:r>
    </w:p>
    <w:p>
      <w:r>
        <w:t xml:space="preserve">Positive Marks: 1</w:t>
      </w:r>
    </w:p>
    <w:p>
      <w:r>
        <w:t xml:space="preserve">Negative Marks: 0.33</w:t>
      </w:r>
    </w:p>
    <w:p/>
    <w:p>
      <w:r>
        <w:rPr>
          <w:b/>
        </w:rPr>
        <w:t xml:space="preserve">Question: A newborn with cleft lip and palate presents immediately after birth. What is the first nursing priority in management?</w:t>
      </w:r>
    </w:p>
    <w:p>
      <w:r>
        <w:t xml:space="preserve">(a) Apply topical antiseptic ointment to prevent infection</w:t>
      </w:r>
    </w:p>
    <w:p>
      <w:r>
        <w:t xml:space="preserve">(b) Assess feeding capability and establish an appropriate feeding method</w:t>
      </w:r>
    </w:p>
    <w:p>
      <w:r>
        <w:t xml:space="preserve">(c) Schedule surgical consultation before first feeding attempt</w:t>
      </w:r>
    </w:p>
    <w:p>
      <w:r>
        <w:t xml:space="preserve">(d) Measure and document exact dimensions of the palatal defect</w:t>
      </w:r>
    </w:p>
    <w:p>
      <w:r>
        <w:t xml:space="preserve">Answer: b</w:t>
      </w:r>
    </w:p>
    <w:p>
      <w:r>
        <w:t xml:space="preserve">Solution: Assessing feeding capability is the immediate priority because infants with cleft cannot generate adequate negative pressure for normal breastfeeding or bottle feeding, leading to aspiration risk and malnutrition. Nursing intervention includes special feeding techniques (cross-finger method, squeeze bottle, or specialized nipples) to ensure adequate nutrition. Surgical consultation is important but not the first intervention. Topical ointments and detailed measurements are secondary to establishing safe nutrition and preventing failure to thrive.</w:t>
      </w:r>
    </w:p>
    <w:p>
      <w:r>
        <w:t xml:space="preserve">Positive Marks: 1</w:t>
      </w:r>
    </w:p>
    <w:p>
      <w:r>
        <w:t xml:space="preserve">Negative Marks: 0.33</w:t>
      </w:r>
    </w:p>
    <w:p/>
    <w:p>
      <w:r>
        <w:rPr>
          <w:b/>
        </w:rPr>
        <w:t xml:space="preserve">Question: Pierre Robin sequence is characterized by which classic triad of features?</w:t>
      </w:r>
    </w:p>
    <w:p>
      <w:r>
        <w:t xml:space="preserve">(a) Cleft palate, congenital heart defect, and developmental delay</w:t>
      </w:r>
    </w:p>
    <w:p>
      <w:r>
        <w:t xml:space="preserve">(b) Micrognathia, glossoptosis, and airway obstruction</w:t>
      </w:r>
    </w:p>
    <w:p>
      <w:r>
        <w:t xml:space="preserve">(c) Hypertonia, hyperreflexia, and seizures</w:t>
      </w:r>
    </w:p>
    <w:p>
      <w:r>
        <w:t xml:space="preserve">(d) Hepatomegaly, splenomegaly, and jaundice</w:t>
      </w:r>
    </w:p>
    <w:p>
      <w:r>
        <w:t xml:space="preserve">Answer: b</w:t>
      </w:r>
    </w:p>
    <w:p>
      <w:r>
        <w:t xml:space="preserve">Solution: Pierre Robin sequence is defined by micrognathia (small mandible) leading to glossoptosis (posterior displacement of the tongue), which causes airway obstruction. The small jaw mechanically prevents the tongue from maintaining normal position, creating a cascade of airway compromise. While cleft palate frequently accompanies this sequence, it is not part of the defining triad. Recognition of this sequence is critical for airway management, often requiring prone or lateral positioning to keep the tongue forward and maintain airway patency.</w:t>
      </w:r>
    </w:p>
    <w:p>
      <w:r>
        <w:t xml:space="preserve">Positive Marks: 1</w:t>
      </w:r>
    </w:p>
    <w:p>
      <w:r>
        <w:t xml:space="preserve">Negative Marks: 0.33</w:t>
      </w:r>
    </w:p>
    <w:p/>
    <w:p>
      <w:r>
        <w:rPr>
          <w:b/>
        </w:rPr>
        <w:t xml:space="preserve">Question: A newborn presents with a continuous 'machinery' murmur, wide pulse pressure, bounding pulses, and signs of pulmonary overcirculation. What is the most likely diagnosis?</w:t>
      </w:r>
    </w:p>
    <w:p>
      <w:r>
        <w:t xml:space="preserve">(a) Ventricular septal defect</w:t>
      </w:r>
    </w:p>
    <w:p>
      <w:r>
        <w:t xml:space="preserve">(b) Patent ductus arteriosus</w:t>
      </w:r>
    </w:p>
    <w:p>
      <w:r>
        <w:t xml:space="preserve">(c) Atrial septal defect</w:t>
      </w:r>
    </w:p>
    <w:p>
      <w:r>
        <w:t xml:space="preserve">(d) Tetralogy of Fallot</w:t>
      </w:r>
    </w:p>
    <w:p>
      <w:r>
        <w:t xml:space="preserve">Answer: b</w:t>
      </w:r>
    </w:p>
    <w:p>
      <w:r>
        <w:t xml:space="preserve">Solution: Patent ductus arteriosus (PDA) causes a left-to-right shunt resulting in the pathognomonic continuous 'machinery' murmur, wide pulse pressure with bounding ('water hammer') pulses, and hyperactive precordium. The increased stroke volume causes elevated systolic pressure and decreased diastolic pressure. VSDs produce a holosystolic murmur, not continuous. ASDs have a fixed split S2, not a machinery murmur. Tetralogy of Fallot presents with cyanosis and a systolic ejection murmur. Understanding PDA hemodynamics is essential for recognizing this common cardiac anomaly in premature infants.</w:t>
      </w:r>
    </w:p>
    <w:p>
      <w:r>
        <w:t xml:space="preserve">Positive Marks: 1</w:t>
      </w:r>
    </w:p>
    <w:p>
      <w:r>
        <w:t xml:space="preserve">Negative Marks: 0.33</w:t>
      </w:r>
    </w:p>
    <w:p/>
    <w:p>
      <w:r>
        <w:rPr>
          <w:b/>
        </w:rPr>
        <w:t xml:space="preserve">Question: A newborn has polyhydramnios noted on prenatal imaging and now presents with drooling, respiratory distress, and cyanosis with the first feeding attempt. Which diagnosis should be immediately suspected?</w:t>
      </w:r>
    </w:p>
    <w:p>
      <w:r>
        <w:t xml:space="preserve">(a) Congenital diaphragmatic hernia</w:t>
      </w:r>
    </w:p>
    <w:p>
      <w:r>
        <w:t xml:space="preserve">(b) Tracheoesophageal fistula with esophageal atresia</w:t>
      </w:r>
    </w:p>
    <w:p>
      <w:r>
        <w:t xml:space="preserve">(c) Meconium aspiration syndrome</w:t>
      </w:r>
    </w:p>
    <w:p>
      <w:r>
        <w:t xml:space="preserve">(d) Pyloric stenosis</w:t>
      </w:r>
    </w:p>
    <w:p>
      <w:r>
        <w:t xml:space="preserve">Answer: b</w:t>
      </w:r>
    </w:p>
    <w:p>
      <w:r>
        <w:t xml:space="preserve">Solution: Tracheoesophageal fistula (TEF) with proximal esophageal atresia presents with the classic triad: maternal polyhydramnios (baby cannot swallow), excessive drooling, and respiratory distress or cyanosis during feeding attempts (risk of aspiration). A feeding tube cannot be passed into the stomach if the proximal esophagus is blind. A contrast study confirms the diagnosis. Diaphragmatic hernia presents with respiratory distress independent of feeding. Pyloric stenosis presents with projectile vomiting, not respiratory distress. Early diagnosis and NPO status prevent aspiration pneumonia and allow prompt surgical repair.</w:t>
      </w:r>
    </w:p>
    <w:p>
      <w:r>
        <w:t xml:space="preserve">Positive Marks: 1</w:t>
      </w:r>
    </w:p>
    <w:p>
      <w:r>
        <w:t xml:space="preserve">Negative Marks: 0.33</w:t>
      </w:r>
    </w:p>
    <w:p/>
    <w:p>
      <w:r>
        <w:rPr>
          <w:b/>
        </w:rPr>
        <w:t xml:space="preserve">Question: A child with spina bifida is receiving comprehensive nursing care including bowel management. What is the primary nursing goal in establishing a bowel program?</w:t>
      </w:r>
    </w:p>
    <w:p>
      <w:r>
        <w:t xml:space="preserve">(a) Completely eliminate all bowel movements through anticholinergic medications</w:t>
      </w:r>
    </w:p>
    <w:p>
      <w:r>
        <w:t xml:space="preserve">(b) Establish regular, predictable bowel elimination and maintain fecal continence</w:t>
      </w:r>
    </w:p>
    <w:p>
      <w:r>
        <w:t xml:space="preserve">(c) Perform daily manual disimpaction to prevent complications</w:t>
      </w:r>
    </w:p>
    <w:p>
      <w:r>
        <w:t xml:space="preserve">(d) Restrict fluid and fiber intake to minimize bowel activity</w:t>
      </w:r>
    </w:p>
    <w:p>
      <w:r>
        <w:t xml:space="preserve">Answer: b</w:t>
      </w:r>
    </w:p>
    <w:p>
      <w:r>
        <w:t xml:space="preserve">Solution: The goal of bowel management in neurogenic bowel (spina bifida) is to establish regular, predictable bowel elimination and maintain continence through a structured program including scheduled toilet time, adequate hydration, dietary fiber, stool softeners, and digital stimulation when needed. Eliminating bowel movements is harmful and unrealistic. Daily disimpaction is only performed if impaction occurs. Fluid and fiber restriction worsens constipation. A planned program promotes social continence, independence, and quality of life, making it a cornerstone of long-term management.</w:t>
      </w:r>
    </w:p>
    <w:p>
      <w:r>
        <w:t xml:space="preserve">Positive Marks: 1</w:t>
      </w:r>
    </w:p>
    <w:p>
      <w:r>
        <w:t xml:space="preserve">Negative Marks: 0.33</w:t>
      </w:r>
    </w:p>
    <w:p/>
    <w:p>
      <w:r>
        <w:rPr>
          <w:b/>
        </w:rPr>
        <w:t xml:space="preserve">Question: A newborn with Down syndrome (Trisomy 21) undergoes neonatal assessment. Which of the following features is NOT typically associated with Down syndrome?</w:t>
      </w:r>
    </w:p>
    <w:p>
      <w:r>
        <w:t xml:space="preserve">(a) Developmental delay and intellectual disability</w:t>
      </w:r>
    </w:p>
    <w:p>
      <w:r>
        <w:t xml:space="preserve">(b) Congenital heart defects, especially endocardial cushion defects</w:t>
      </w:r>
    </w:p>
    <w:p>
      <w:r>
        <w:t xml:space="preserve">(c) Elongated face with a high-arched palate</w:t>
      </w:r>
    </w:p>
    <w:p>
      <w:r>
        <w:t xml:space="preserve">(d) Hypotonia in infancy and early childhood</w:t>
      </w:r>
    </w:p>
    <w:p>
      <w:r>
        <w:t xml:space="preserve">Answer: c</w:t>
      </w:r>
    </w:p>
    <w:p>
      <w:r>
        <w:t xml:space="preserve">Solution: Down syndrome typically presents with a broad, flat face (not elongated), low-set ears, flat occiput, and a relatively flat nasal bridge. An elongated face is characteristic of Turner syndrome or other conditions, not Down syndrome. Classic Down features include hypotonia, cardiac anomalies (AV canal defects, ASD, VSD), growth retardation, and developmental delay. Upslanting palpebral fissures and a protruding tongue are common. Accurate recognition of these features guides genetic confirmation and appropriate developmental monitoring and support planning.</w:t>
      </w:r>
    </w:p>
    <w:p>
      <w:r>
        <w:t xml:space="preserve">Positive Marks: 1</w:t>
      </w:r>
    </w:p>
    <w:p>
      <w:r>
        <w:t xml:space="preserve">Negative Marks: 0.33</w:t>
      </w:r>
    </w:p>
    <w:p/>
    <w:p>
      <w:r>
        <w:rPr>
          <w:b/>
        </w:rPr>
        <w:t xml:space="preserve">Question: A newborn is diagnosed with talipes equinovarus (clubfoot). Which statement best reflects current evidence-based management?</w:t>
      </w:r>
    </w:p>
    <w:p>
      <w:r>
        <w:t xml:space="preserve">(a) Aggressive manual manipulation in the first 24 hours followed by immediate surgery</w:t>
      </w:r>
    </w:p>
    <w:p>
      <w:r>
        <w:t xml:space="preserve">(b) Early gentle manipulation with serial casting (Ponseti method) as first-line treatment</w:t>
      </w:r>
    </w:p>
    <w:p>
      <w:r>
        <w:t xml:space="preserve">(c) Surgical correction should be delayed until the child is school-age</w:t>
      </w:r>
    </w:p>
    <w:p>
      <w:r>
        <w:t xml:space="preserve">(d) Splinting alone is sufficient without casting or surgery</w:t>
      </w:r>
    </w:p>
    <w:p>
      <w:r>
        <w:t xml:space="preserve">Answer: b</w:t>
      </w:r>
    </w:p>
    <w:p>
      <w:r>
        <w:t xml:space="preserve">Solution: The Ponseti method is now the gold-standard first-line treatment for clubfoot, involving gentle weekly manipulation and serial casting over 6-8 weeks to gradually correct the deformity. Success rate is approximately 90% without surgery. This non-operative approach avoids surgical complications and disability associated with historical surgical approaches. Aggressive manipulation causes tissue damage. Delayed surgery leads to permanent disability and functional impairment. Splinting alone is inadequate for structural deformities. The Ponseti method has transformed clubfoot outcomes globally and is frequently tested in competitive exams.</w:t>
      </w:r>
    </w:p>
    <w:p>
      <w:r>
        <w:t xml:space="preserve">Positive Marks: 1</w:t>
      </w:r>
    </w:p>
    <w:p>
      <w:r>
        <w:t xml:space="preserve">Negative Marks: 0.33</w:t>
      </w:r>
    </w:p>
    <w:p/>
    <w:p>
      <w:r>
        <w:rPr>
          <w:b/>
        </w:rPr>
        <w:t xml:space="preserve">Question: A newborn is diagnosed with congenital cataracts on neonatal screening examination. Which timing for intervention is most critical to prevent permanent vision loss?</w:t>
      </w:r>
    </w:p>
    <w:p>
      <w:r>
        <w:t xml:space="preserve">(a) Surgery can be safely delayed until age 3-4 years</w:t>
      </w:r>
    </w:p>
    <w:p>
      <w:r>
        <w:t xml:space="preserve">(b) Early surgery, ideally by 6-8 weeks of age, is necessary to prevent amblyopia</w:t>
      </w:r>
    </w:p>
    <w:p>
      <w:r>
        <w:t xml:space="preserve">(c) Topical corticosteroid drops alone can resolve congenital cataracts</w:t>
      </w:r>
    </w:p>
    <w:p>
      <w:r>
        <w:t xml:space="preserve">(d) Vision screening is not necessary in this population</w:t>
      </w:r>
    </w:p>
    <w:p>
      <w:r>
        <w:t xml:space="preserve">Answer: b</w:t>
      </w:r>
    </w:p>
    <w:p>
      <w:r>
        <w:t xml:space="preserve">Solution: Congenital cataracts must be surgically addressed urgently, ideally by 6-8 weeks of age, during the critical period of visual system development. Opacity during this period causes irreversible deprivation amblyopia in the brain as the visual cortex fails to develop normally. Even delays to 3-6 months result in permanent vision loss. Topical steroids do not resolve structural cataracts. Early red reflex screening by nurses identifies these cases and urgent ophthalmology referral is essential. Timing of surgery directly determines visual potential, making this a critical nursing priority.</w:t>
      </w:r>
    </w:p>
    <w:p>
      <w:r>
        <w:t xml:space="preserve">Positive Marks: 1</w:t>
      </w:r>
    </w:p>
    <w:p>
      <w:r>
        <w:t xml:space="preserve">Negative Marks: 0.33</w:t>
      </w:r>
    </w:p>
    <w:p/>
    <w:p>
      <w:r>
        <w:rPr>
          <w:b/>
        </w:rPr>
        <w:t xml:space="preserve">Question: A male newborn with hypospadias is being managed by the nursing team. Which statement correctly reflects appropriate management and timing?</w:t>
      </w:r>
    </w:p>
    <w:p>
      <w:r>
        <w:t xml:space="preserve">(a) Repair should be performed in the first week of life to prevent infection</w:t>
      </w:r>
    </w:p>
    <w:p>
      <w:r>
        <w:t xml:space="preserve">(b) Circumcision should be performed immediately before surgical repair</w:t>
      </w:r>
    </w:p>
    <w:p>
      <w:r>
        <w:t xml:space="preserve">(c) Surgical repair is typically scheduled between 6-18 months of age after adequate growth</w:t>
      </w:r>
    </w:p>
    <w:p>
      <w:r>
        <w:t xml:space="preserve">(d) Repair should be delayed until the child is toilet-trained for cooperation</w:t>
      </w:r>
    </w:p>
    <w:p>
      <w:r>
        <w:t xml:space="preserve">Answer: c</w:t>
      </w:r>
    </w:p>
    <w:p>
      <w:r>
        <w:t xml:space="preserve">Solution: Hypospadias repair is optimally scheduled between 6-18 months of age when penile growth provides sufficient tissue for surgical reconstruction. Early repair in the first weeks risks complications and inadequate tissue. Circumcision must be avoided because the dorsal foreskin is harvested and used in most hypospadias repair techniques (foreskin flap). Waiting until toilet training causes psychological impact and delays functional restoration. A memory aid: 'Repair after six months but before school.' Timing optimizes surgical outcomes and minimizes long-term urological and psychological complications.</w:t>
      </w:r>
    </w:p>
    <w:p>
      <w:r>
        <w:t xml:space="preserve">Positive Marks: 1</w:t>
      </w:r>
    </w:p>
    <w:p>
      <w:r>
        <w:t xml:space="preserve">Negative Marks: 0.33</w:t>
      </w:r>
    </w:p>
    <w:p/>
    <w:p>
      <w:r>
        <w:rPr>
          <w:b/>
        </w:rPr>
        <w:t xml:space="preserve">Question: A newborn with congenital diaphragmatic hernia (CDH) presents with severe respiratory distress immediately after delivery. What is the most critical immediate nursing intervention?</w:t>
      </w:r>
    </w:p>
    <w:p>
      <w:r>
        <w:t xml:space="preserve">(a) Begin high-flow oxygen immediately to maximize oxygenation</w:t>
      </w:r>
    </w:p>
    <w:p>
      <w:r>
        <w:t xml:space="preserve">(b) Initiate early oral feeding to promote nutritional status</w:t>
      </w:r>
    </w:p>
    <w:p>
      <w:r>
        <w:t xml:space="preserve">(c) Insert a nasogastric/orogastric tube, keep NPO to decompress intestines</w:t>
      </w:r>
    </w:p>
    <w:p>
      <w:r>
        <w:t xml:space="preserve">(d) Position the infant supine with the head of the bed elevated</w:t>
      </w:r>
    </w:p>
    <w:p>
      <w:r>
        <w:t xml:space="preserve">Answer: c</w:t>
      </w:r>
    </w:p>
    <w:p>
      <w:r>
        <w:t xml:space="preserve">Solution: Immediate nasogastric/orogastric decompression with NPO status is critical in CDH because bowel distension from swallowed air and gastric secretions worsens compression of the already hypoplastic lungs. Decompression rapidly improves lung expansion and oxygenation. High-flow oxygen is often ineffective due to pulmonary hypoplasia and may cause CO2 retention. Oral feeding increases abdominal distension. Supine positioning increases lung compression. Early gastric decompression can be life-saving, dramatically improving respiratory status before surgical repair. This single intervention often significantly improves ventilation and oxygenation.</w:t>
      </w:r>
    </w:p>
    <w:p>
      <w:r>
        <w:t xml:space="preserve">Positive Marks: 1</w:t>
      </w:r>
    </w:p>
    <w:p>
      <w:r>
        <w:t xml:space="preserve">Negative Marks: 0.33</w:t>
      </w:r>
    </w:p>
    <w:p/>
    <w:p>
      <w:r>
        <w:rPr>
          <w:b/>
        </w:rPr>
        <w:t xml:space="preserve">Question: A newborn presents with abdominal distention and failure to pass meconium in the first 24 hours. Testing reveals meconium ileus associated with cystic fibrosis. What is the initial recommended treatment?</w:t>
      </w:r>
    </w:p>
    <w:p>
      <w:r>
        <w:t xml:space="preserve">(a) Broad-spectrum antibiotics to prevent bacterial translocation</w:t>
      </w:r>
    </w:p>
    <w:p>
      <w:r>
        <w:t xml:space="preserve">(b) Gastrografin (meglumine diatrizoate) enema for osmotic evacuation</w:t>
      </w:r>
    </w:p>
    <w:p>
      <w:r>
        <w:t xml:space="preserve">(c) Surgical enterotomy and manual evacuation of meconium</w:t>
      </w:r>
    </w:p>
    <w:p>
      <w:r>
        <w:t xml:space="preserve">(d) Pancreatic enzyme supplements to chemically dissolve meconium</w:t>
      </w:r>
    </w:p>
    <w:p>
      <w:r>
        <w:t xml:space="preserve">Answer: b</w:t>
      </w:r>
    </w:p>
    <w:p>
      <w:r>
        <w:t xml:space="preserve">Solution: Gastrografin enema is the first-line non-surgical treatment for uncomplicated meconium ileus, with success in 60-80% of cases. The hyperosmolar contrast solution draws fluid into the bowel lumen, creating osmotic pressure that evacuates inspissated meconium. Gastrografin also has mild mucolytic properties. Antibiotics are reserved for complicated meconium ileus with peritonitis. Pancreatic enzymes are used chronically in CF management, not acutely for ileus. Gastrografin must be used cautiously with monitoring for perforation. If enema fails, surgical resection of the obstructed ileal segment is performed. Recognition of meconium ileus is important because CF diagnosis enables early intervention.</w:t>
      </w:r>
    </w:p>
    <w:p>
      <w:r>
        <w:t xml:space="preserve">Positive Marks: 1</w:t>
      </w:r>
    </w:p>
    <w:p>
      <w:r>
        <w:t xml:space="preserve">Negative Marks: 0.33</w:t>
      </w:r>
    </w:p>
    <w:p/>
    <w:p>
      <w:r>
        <w:rPr>
          <w:b/>
        </w:rPr>
        <w:t xml:space="preserve">Question: A newborn with Tetralogy of Fallot experiences a sudden severe hypercyanotic spell. Which nursing intervention represents the correct immediate management?</w:t>
      </w:r>
    </w:p>
    <w:p>
      <w:r>
        <w:t xml:space="preserve">(a) Apply high-flow oxygen and position infant supine for optimal chest expansion</w:t>
      </w:r>
    </w:p>
    <w:p>
      <w:r>
        <w:t xml:space="preserve">(b) Position infant in knee-chest position, administer oxygen, and give IV morphine as ordered</w:t>
      </w:r>
    </w:p>
    <w:p>
      <w:r>
        <w:t xml:space="preserve">(c) Perform chest compressions at 100-120 compressions per minute</w:t>
      </w:r>
    </w:p>
    <w:p>
      <w:r>
        <w:t xml:space="preserve">(d) Immediately prepare for emergency endotracheal intubation</w:t>
      </w:r>
    </w:p>
    <w:p>
      <w:r>
        <w:t xml:space="preserve">Answer: b</w:t>
      </w:r>
    </w:p>
    <w:p>
      <w:r>
        <w:t xml:space="preserve">Solution: The classic triad for managing hypercyanotic spells in Tetralogy of Fallot is: (1) knee-chest position increases systemic vascular resistance and decreases right-to-left shunting, (2) oxygen supplementation, and (3) morphine for sedation and reduction of infundibular spasm. The knee-chest position mechanically improves pulmonary blood flow. Supine positioning worsens the spell. Morphine is given IV or IM. Chest compressions and intubation are not indicated unless cardiac arrest occurs. This classic emergency triad is frequently tested in competitive exams. Nursing recognition and rapid execution of these interventions can be life-saving during acute spells.</w:t>
      </w:r>
    </w:p>
    <w:p>
      <w:r>
        <w:t xml:space="preserve">Positive Marks: 1</w:t>
      </w:r>
    </w:p>
    <w:p>
      <w:r>
        <w:t xml:space="preserve">Negative Marks: 0.33</w:t>
      </w:r>
    </w:p>
    <w:p/>
    <w:p>
      <w:r>
        <w:rPr>
          <w:b/>
        </w:rPr>
        <w:t xml:space="preserve">Question: A newborn is identified with congenital hypothyroidism on screening, and treatment with levothyroxine is initiated. Which statement best reflects the clinical significance of early detection and treatment?</w:t>
      </w:r>
    </w:p>
    <w:p>
      <w:r>
        <w:t xml:space="preserve">(a) Congenital hypothyroidism spontaneously resolves by age 2-3 years without treatment</w:t>
      </w:r>
    </w:p>
    <w:p>
      <w:r>
        <w:t xml:space="preserve">(b) Delayed treatment allows natural thyroid hormone production and avoids unnecessary medication</w:t>
      </w:r>
    </w:p>
    <w:p>
      <w:r>
        <w:t xml:space="preserve">(c) Immediate levothyroxine replacement is essential to prevent permanent intellectual disability</w:t>
      </w:r>
    </w:p>
    <w:p>
      <w:r>
        <w:t xml:space="preserve">(d) TSH monitoring alone is sufficient to prevent neurological complications</w:t>
      </w:r>
    </w:p>
    <w:p>
      <w:r>
        <w:t xml:space="preserve">Answer: c</w:t>
      </w:r>
    </w:p>
    <w:p>
      <w:r>
        <w:t xml:space="preserve">Solution: Congenital hypothyroidism causes permanent intellectual disability (cretinism) if thyroid hormone is not replaced during the critical period of brain development (first weeks and months of life). Immediate levothyroxine replacement prevents irreversible neurological damage. The condition does not resolve spontaneously. Delayed treatment results in permanent cognitive impairment. Monitoring without replacement is inadequate. Modern newborn screening programs have essentially eliminated cretinism in developed countries, exemplifying the power of prevention. Nursing compliance with medication adherence and follow-up TSH testing is critical for optimal developmental outcomes.</w:t>
      </w:r>
    </w:p>
    <w:p>
      <w:r>
        <w:t xml:space="preserve">Positive Marks: 1</w:t>
      </w:r>
    </w:p>
    <w:p>
      <w:r>
        <w:t xml:space="preserve">Negative Marks: 0.33</w:t>
      </w:r>
    </w:p>
    <w:p/>
    <w:p>
      <w:r>
        <w:rPr>
          <w:b/>
        </w:rPr>
        <w:t xml:space="preserve">Question: A newborn with cleft lip and palate requires surgical repair. According to the 'rule of 10s,' which statement correctly describes the timing protocol?</w:t>
      </w:r>
    </w:p>
    <w:p>
      <w:r>
        <w:t xml:space="preserve">(a) Immediate repair within 48 hours, before the palatal shelf develops</w:t>
      </w:r>
    </w:p>
    <w:p>
      <w:r>
        <w:t xml:space="preserve">(b) Lip repair at 3 months (10 weeks), palate at 9-12 months, with weight and hemoglobin targets of 10 lbs and 10 g/dL</w:t>
      </w:r>
    </w:p>
    <w:p>
      <w:r>
        <w:t xml:space="preserve">(c) Palatal repair first at 6 weeks, lip repair deferred until age 1 year</w:t>
      </w:r>
    </w:p>
    <w:p>
      <w:r>
        <w:t xml:space="preserve">(d) Simultaneous lip and palatal repair at 6 weeks for optimal cosmetic results</w:t>
      </w:r>
    </w:p>
    <w:p>
      <w:r>
        <w:t xml:space="preserve">Answer: b</w:t>
      </w:r>
    </w:p>
    <w:p>
      <w:r>
        <w:t xml:space="preserve">Solution: The 'rule of 10s' guides cleft repair: surgery at 10 weeks of age, weighing at least 10 pounds, and hemoglobin at least 10 g/dL. Lip repair is performed first (approximately 3 months) to restore appearance, prevent feeding difficulty, and promote parent-infant bonding. Palatal repair follows at 9-12 months, before speech development begins. This sequence balances functional restoration with optimal surgical outcomes. Early palatal repair improves speech; delayed repair beyond 2 years causes persistent speech defects. Lip repair improves feeding and psychology; palatal repair must precede speech development. This timing protocol is evidence-based and frequently tested in competitive nursing exams.</w:t>
      </w:r>
    </w:p>
    <w:p>
      <w:r>
        <w:t xml:space="preserve">Positive Marks: 1</w:t>
      </w:r>
    </w:p>
    <w:p>
      <w:r>
        <w:t xml:space="preserve">Negative Marks: 0.33</w:t>
      </w:r>
    </w:p>
    <w:p/>
    <w:p>
      <w:r>
        <w:rPr>
          <w:b/>
        </w:rPr>
        <w:t xml:space="preserve">Question: A newborn with suspected Hirschsprung disease presents with abdominal distention and failure to pass meconium within 48 hours. Which diagnostic finding is most definitive for confirming this diagnosis?</w:t>
      </w:r>
    </w:p>
    <w:p>
      <w:r>
        <w:t xml:space="preserve">(a) Dilated loops of colon visible on abdominal X-ray</w:t>
      </w:r>
    </w:p>
    <w:p>
      <w:r>
        <w:t xml:space="preserve">(b) Absence of ganglion cells (aganglionosis) on rectal biopsy</w:t>
      </w:r>
    </w:p>
    <w:p>
      <w:r>
        <w:t xml:space="preserve">(c) Elevated serum ammonia levels with altered mental status</w:t>
      </w:r>
    </w:p>
    <w:p>
      <w:r>
        <w:t xml:space="preserve">(d) Passage of explosive diarrhea after rectal temperature measurement</w:t>
      </w:r>
    </w:p>
    <w:p>
      <w:r>
        <w:t xml:space="preserve">Answer: b</w:t>
      </w:r>
    </w:p>
    <w:p>
      <w:r>
        <w:t xml:space="preserve">Solution: Hirschsprung disease is pathologically defined by the complete absence of ganglion cells (aganglionosis) in a segment of the colon, most commonly the rectosigmoid region. Rectal biopsy is the gold standard diagnostic test that confirms this pathology. The aganglionosis prevents normal nerve-mediated peristalsis, creating a functional obstruction. Abdominal X-ray may show dilated proximal colon but is not diagnostic. Elevated ammonia suggests metabolic disorders, not Hirschsprung. Explosive diarrhea after rectal examination may provide temporary relief but does not diagnose the condition. Prompt biopsy confirmation leads to surgical resection of the aganglionic segment and excellent long-term outcomes if performed early.</w:t>
      </w:r>
    </w:p>
    <w:p>
      <w:r>
        <w:t xml:space="preserve">Positive Marks: 1</w:t>
      </w:r>
    </w:p>
    <w:p>
      <w:r>
        <w:t xml:space="preserve">Negative Marks: 0.33</w:t>
      </w:r>
    </w:p>
    <w:p/>
    <w:p>
      <w:r>
        <w:rPr>
          <w:b/>
        </w:rPr>
        <w:t xml:space="preserve">Question: A newborn with bilateral cleft lip and palate, cardiac defect (Tetralogy of Fallot), and thymic hypoplasia is suspected of having a genetic syndrome. Which genetic diagnosis most likely explains this constellation of findings?</w:t>
      </w:r>
    </w:p>
    <w:p>
      <w:r>
        <w:t xml:space="preserve">(a) Van der Woude syndrome with autosomal dominant inheritance</w:t>
      </w:r>
    </w:p>
    <w:p>
      <w:r>
        <w:t xml:space="preserve">(b) Treacher Collins syndrome with mandibular hypoplasia</w:t>
      </w:r>
    </w:p>
    <w:p>
      <w:r>
        <w:t xml:space="preserve">(c) DiGeorge syndrome (22q11 deletion) with cardiac, palatal, and immune defects</w:t>
      </w:r>
    </w:p>
    <w:p>
      <w:r>
        <w:t xml:space="preserve">(d) Noonan syndrome with characteristic facial features</w:t>
      </w:r>
    </w:p>
    <w:p>
      <w:r>
        <w:t xml:space="preserve">Answer: c</w:t>
      </w:r>
    </w:p>
    <w:p>
      <w:r>
        <w:t xml:space="preserve">Solution: DiGeorge syndrome results from a 22q11 deletion and classically presents with the triad of: (1) cardiac defects (Tetralogy of Fallot, truncus arteriosus, interrupted aortic arch), (2) orofacial clefts (especially palatal), and (3) thymic hypoplasia causing immunodeficiency and T-cell dysfunction. DiGeorge accounts for 10-15% of cleft palate cases with cardiac involvement. Van der Woude syndrome has lip pits and minimal systemic involvement. Treacher Collins features mandibular/malar hypoplasia without cardiac defects. Noonan syndrome has characteristic face but different cardiac patterns. Recognition of DiGeorge is critical for immune evaluation, prophylactic antibiotics for infection prevention, and coordinated cardiac and palatal surgery planning.</w:t>
      </w:r>
    </w:p>
    <w:p>
      <w:r>
        <w:t xml:space="preserve">Positive Marks: 1</w:t>
      </w:r>
    </w:p>
    <w:p>
      <w:r>
        <w:t xml:space="preserve">Negative Marks: 0.33</w:t>
      </w:r>
    </w:p>
    <w:p/>
    <w:p>
      <w:r>
        <w:rPr>
          <w:b/>
        </w:rPr>
        <w:t xml:space="preserve">Question: A newborn with suspected neural tube defect (open spina bifida) requires diagnostic confirmation and assessment of lesion level. Which imaging modality provides the most definitive postpartum diagnosis and surgical planning information?</w:t>
      </w:r>
    </w:p>
    <w:p>
      <w:r>
        <w:t xml:space="preserve">(a) Elevated maternal alpha-fetoprotein (AFP) level measured prenatally</w:t>
      </w:r>
    </w:p>
    <w:p>
      <w:r>
        <w:t xml:space="preserve">(b) Prenatal ultrasound demonstrating absent posterior vertebral arches</w:t>
      </w:r>
    </w:p>
    <w:p>
      <w:r>
        <w:t xml:space="preserve">(c) Postnatal MRI imaging of the spinal cord to visualize lesion extent</w:t>
      </w:r>
    </w:p>
    <w:p>
      <w:r>
        <w:t xml:space="preserve">(d) Lumbar puncture demonstrating elevated cerebrospinal fluid protein</w:t>
      </w:r>
    </w:p>
    <w:p>
      <w:r>
        <w:t xml:space="preserve">Answer: c</w:t>
      </w:r>
    </w:p>
    <w:p>
      <w:r>
        <w:t xml:space="preserve">Solution: Postnatal MRI provides definitive imaging of the neural tube defect, clearly showing the precise level of the lesion, extent of spinal cord involvement, presence of tethering or syrinx, and associated anomalies (Arnold-Chiari malformation, hydrocephalus). This information is essential for surgical planning and prognostication. Prenatal AFP screening and ultrasound aid early detection but postnatal imaging is definitive. Ultrasound can be used in the immediate neonatal period if MRI is delayed. Elevated CSF protein is nonspecific. Urgent imaging followed by early neurosurgical consultation (ideally within 24-48 hours) minimizes neurological deterioration. Imaging findings directly determine surgical timing, neurological prognosis, and continence potential.</w:t>
      </w:r>
    </w:p>
    <w:p>
      <w:r>
        <w:t xml:space="preserve">Positive Marks: 1</w:t>
      </w:r>
    </w:p>
    <w:p>
      <w:r>
        <w:t xml:space="preserve">Negative Marks: 0.33</w:t>
      </w:r>
    </w:p>
    <w:p/>
    <w:p>
      <w:r>
        <w:rPr>
          <w:b/>
        </w:rPr>
        <w:t xml:space="preserve">Question: A newborn with Trisomy 18 (Edwards syndrome) presents with severe congenital anomalies including cardiac defects, cleft lip/palate, and severe growth retardation. Which statement most accurately reflects the prognosis and nursing role in this condition?</w:t>
      </w:r>
    </w:p>
    <w:p>
      <w:r>
        <w:t xml:space="preserve">(a) Most infants with Trisomy 18 survive to adolescence with standard intensive care</w:t>
      </w:r>
    </w:p>
    <w:p>
      <w:r>
        <w:t xml:space="preserve">(b) Approximately 90% of infants with Trisomy 18 die within the first year; nursing focus is comfort and family support</w:t>
      </w:r>
    </w:p>
    <w:p>
      <w:r>
        <w:t xml:space="preserve">(c) Trisomy 18 infants require aggressive surgical intervention for all anomalies to improve outcomes</w:t>
      </w:r>
    </w:p>
    <w:p>
      <w:r>
        <w:t xml:space="preserve">(d) Trisomy 18 outcomes are identical to Trisomy 21 when provided equivalent medical care</w:t>
      </w:r>
    </w:p>
    <w:p>
      <w:r>
        <w:t xml:space="preserve">Answer: b</w:t>
      </w:r>
    </w:p>
    <w:p>
      <w:r>
        <w:t xml:space="preserve">Solution: Trisomy 18 (Edwards syndrome) carries a grave prognosis: approximately 90% of affected infants die within the first year of life, with a median survival of 5-7 days. Most die from severe cardiac defects, neurological deterioration, or respiratory failure. Unlike Trisomy 21, Trisomy 18 represents a lethal aneuploidy. Aggressive surgical intervention does not significantly improve overall outcomes due to the severity of multiple organ involvement. Nursing priorities shift to comfort measures, pain management, and family-centered supportive care rather than curative interventions. This includes discussing prognosis honestly with families, supporting end-of-life decisions, and facilitating meaningful time with the infant. This difficult clinical scenario tests nursing compassion, communication, and ethics in managing perinatally lethal conditions.</w:t>
      </w:r>
    </w:p>
    <w:p>
      <w:r>
        <w:t xml:space="preserve">Positive Marks: 1</w:t>
      </w:r>
    </w:p>
    <w:p>
      <w:r>
        <w:t xml:space="preserve">Negative Marks: 0.33</w:t>
      </w:r>
    </w:p>
    <w:sectPr>
      <w:pgSz w:w="11906" w:h="16838"/>
      <w:pgMar w:top="1134" w:right="1134" w:bottom="1134" w:left="1134"/>
    </w:sectPr>
  </w:body>
</w:document>
</file>