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Tobacco dependence is best characterized by which pattern of use?</w:t>
      </w:r>
    </w:p>
    <w:p>
      <w:r>
        <w:t xml:space="preserve">(a) Occasional use with full control over quantity</w:t>
      </w:r>
    </w:p>
    <w:p>
      <w:r>
        <w:t xml:space="preserve">(b) Persistent use despite knowledge of harmful consequences</w:t>
      </w:r>
    </w:p>
    <w:p>
      <w:r>
        <w:t xml:space="preserve">(c) Use only during social gatherings without cravings</w:t>
      </w:r>
    </w:p>
    <w:p>
      <w:r>
        <w:t xml:space="preserve">(d) Complete cessation followed by no desire to resume</w:t>
      </w:r>
    </w:p>
    <w:p>
      <w:r>
        <w:t xml:space="preserve">Answer: b</w:t>
      </w:r>
    </w:p>
    <w:p>
      <w:r>
        <w:t xml:space="preserve">Solution: Tobacco dependence (DSM-5) is defined by continued use despite harmful consequences and loss of control, which is option B. Option A describes non-dependent use. Option C incorrectly suggests tobacco use is situational without true dependence. Option D describes successful cessation, not dependence. Key point: Loss of control and continued use despite harm are hallmarks of tobacco dependence.</w:t>
      </w:r>
    </w:p>
    <w:p>
      <w:r>
        <w:t xml:space="preserve">Positive Marks: 1</w:t>
      </w:r>
    </w:p>
    <w:p>
      <w:r>
        <w:t xml:space="preserve">Negative Marks: 0.33</w:t>
      </w:r>
    </w:p>
    <w:p/>
    <w:p>
      <w:r>
        <w:rPr>
          <w:b/>
        </w:rPr>
        <w:t xml:space="preserve">Question: Which alkaloid in tobacco is the primary psychoactive agent responsible for dependence?</w:t>
      </w:r>
    </w:p>
    <w:p>
      <w:r>
        <w:t xml:space="preserve">(a) Tar</w:t>
      </w:r>
    </w:p>
    <w:p>
      <w:r>
        <w:t xml:space="preserve">(b) Carbon monoxide</w:t>
      </w:r>
    </w:p>
    <w:p>
      <w:r>
        <w:t xml:space="preserve">(c) Nicotine</w:t>
      </w:r>
    </w:p>
    <w:p>
      <w:r>
        <w:t xml:space="preserve">(d) Acetaldehyde</w:t>
      </w:r>
    </w:p>
    <w:p>
      <w:r>
        <w:t xml:space="preserve">Answer: c</w:t>
      </w:r>
    </w:p>
    <w:p>
      <w:r>
        <w:t xml:space="preserve">Solution: Nicotine is the alkaloid that binds to nicotinic acetylcholine receptors and produces dependence. Tar (option A) causes cancer but isn't addictive. Carbon monoxide (option B) is a toxic gas causing hypoxia but not dependence. Acetaldehyde (option D) is a byproduct but nicotine is the primary reinforcing agent. Remember: Nicotine = Neurotransmitter-binding alkaloid = Dependence.</w:t>
      </w:r>
    </w:p>
    <w:p>
      <w:r>
        <w:t xml:space="preserve">Positive Marks: 1</w:t>
      </w:r>
    </w:p>
    <w:p>
      <w:r>
        <w:t xml:space="preserve">Negative Marks: 0.33</w:t>
      </w:r>
    </w:p>
    <w:p/>
    <w:p>
      <w:r>
        <w:rPr>
          <w:b/>
        </w:rPr>
        <w:t xml:space="preserve">Question: What are the most common forms of tobacco consumption in India?</w:t>
      </w:r>
    </w:p>
    <w:p>
      <w:r>
        <w:t xml:space="preserve">(a) Cigars and pipe smoking exclusively</w:t>
      </w:r>
    </w:p>
    <w:p>
      <w:r>
        <w:t xml:space="preserve">(b) Nasal snuff and chewing tobacco only</w:t>
      </w:r>
    </w:p>
    <w:p>
      <w:r>
        <w:t xml:space="preserve">(c) Cigarette smoking and smokeless tobacco (bidi, gutka, khaini)</w:t>
      </w:r>
    </w:p>
    <w:p>
      <w:r>
        <w:t xml:space="preserve">(d) Injectable nicotine and patches</w:t>
      </w:r>
    </w:p>
    <w:p>
      <w:r>
        <w:t xml:space="preserve">Answer: c</w:t>
      </w:r>
    </w:p>
    <w:p>
      <w:r>
        <w:t xml:space="preserve">Solution: Cigarette smoking and smokeless tobacco (bidi, gutka, khaini) are the predominant forms in India, particularly smokeless forms. Options A and B are less common. Option D is incorrect as injectable nicotine is not used recreationally. Clinical relevance: Smokeless tobacco users in India are at high risk but often underestimated by healthcare workers.</w:t>
      </w:r>
    </w:p>
    <w:p>
      <w:r>
        <w:t xml:space="preserve">Positive Marks: 1</w:t>
      </w:r>
    </w:p>
    <w:p>
      <w:r>
        <w:t xml:space="preserve">Negative Marks: 0.33</w:t>
      </w:r>
    </w:p>
    <w:p/>
    <w:p>
      <w:r>
        <w:rPr>
          <w:b/>
        </w:rPr>
        <w:t xml:space="preserve">Question: Early withdrawal symptoms in tobacco dependence typically appear within which timeframe after cessation?</w:t>
      </w:r>
    </w:p>
    <w:p>
      <w:r>
        <w:t xml:space="preserve">(a) 6-12 hours</w:t>
      </w:r>
    </w:p>
    <w:p>
      <w:r>
        <w:t xml:space="preserve">(b) 24-48 hours</w:t>
      </w:r>
    </w:p>
    <w:p>
      <w:r>
        <w:t xml:space="preserve">(c) 3-5 days</w:t>
      </w:r>
    </w:p>
    <w:p>
      <w:r>
        <w:t xml:space="preserve">(d) 1-2 weeks</w:t>
      </w:r>
    </w:p>
    <w:p>
      <w:r>
        <w:t xml:space="preserve">Answer: a</w:t>
      </w:r>
    </w:p>
    <w:p>
      <w:r>
        <w:t xml:space="preserve">Solution: Nicotine withdrawal begins within 6-12 hours of last use as nicotine has a short half-life of 30-120 minutes. Option B marks when symptoms intensify; option C is when withdrawal peaks; option D is the late phase. Mnemonic: Early = 6-12 hours (breakfast withdrawal is common symptom reported).</w:t>
      </w:r>
    </w:p>
    <w:p>
      <w:r>
        <w:t xml:space="preserve">Positive Marks: 1</w:t>
      </w:r>
    </w:p>
    <w:p>
      <w:r>
        <w:t xml:space="preserve">Negative Marks: 0.33</w:t>
      </w:r>
    </w:p>
    <w:p/>
    <w:p>
      <w:r>
        <w:rPr>
          <w:b/>
        </w:rPr>
        <w:t xml:space="preserve">Question: According to DSM-5 diagnostic criteria, how many criteria must be met within a 12-month period for tobacco use disorder diagnosis?</w:t>
      </w:r>
    </w:p>
    <w:p>
      <w:r>
        <w:t xml:space="preserve">(a) At least 2 out of 11 criteria</w:t>
      </w:r>
    </w:p>
    <w:p>
      <w:r>
        <w:t xml:space="preserve">(b) At least 4 out of 11 criteria</w:t>
      </w:r>
    </w:p>
    <w:p>
      <w:r>
        <w:t xml:space="preserve">(c) All 11 criteria</w:t>
      </w:r>
    </w:p>
    <w:p>
      <w:r>
        <w:t xml:space="preserve">(d) At least 8 out of 11 criteria</w:t>
      </w:r>
    </w:p>
    <w:p>
      <w:r>
        <w:t xml:space="preserve">Answer: a</w:t>
      </w:r>
    </w:p>
    <w:p>
      <w:r>
        <w:t xml:space="preserve">Solution: DSM-5 requires minimum 2 criteria from 11 for tobacco use disorder (mild severity), with more criteria indicating moderate (4-5) or severe (6+) disorder. Options B, C, and D represent higher thresholds not needed for diagnosis. Key: DSM-5 made diagnosis more accessible with lower threshold compared to prior dependence vs abuse distinction.</w:t>
      </w:r>
    </w:p>
    <w:p>
      <w:r>
        <w:t xml:space="preserve">Positive Marks: 1</w:t>
      </w:r>
    </w:p>
    <w:p>
      <w:r>
        <w:t xml:space="preserve">Negative Marks: 0.33</w:t>
      </w:r>
    </w:p>
    <w:p/>
    <w:p>
      <w:r>
        <w:rPr>
          <w:b/>
        </w:rPr>
        <w:t xml:space="preserve">Question: Nicotine produces addiction and reinforcement primarily through activation of which brain region?</w:t>
      </w:r>
    </w:p>
    <w:p>
      <w:r>
        <w:t xml:space="preserve">(a) Cerebellum and brainstem nuclei</w:t>
      </w:r>
    </w:p>
    <w:p>
      <w:r>
        <w:t xml:space="preserve">(b) Limbic system and ventral tegmental area with dopamine release</w:t>
      </w:r>
    </w:p>
    <w:p>
      <w:r>
        <w:t xml:space="preserve">(c) Occipital and temporal lobes</w:t>
      </w:r>
    </w:p>
    <w:p>
      <w:r>
        <w:t xml:space="preserve">(d) Wernicke's and Broca's areas</w:t>
      </w:r>
    </w:p>
    <w:p>
      <w:r>
        <w:t xml:space="preserve">Answer: b</w:t>
      </w:r>
    </w:p>
    <w:p>
      <w:r>
        <w:t xml:space="preserve">Solution: Nicotine activates nicotinic receptors on dopamine neurons in the ventral tegmental area, triggering dopamine release in the nucleus accumbens (limbic system reward pathway). This is identical to opioid and cocaine addiction mechanisms. Option A controls coordination; options C and D are sensory and language areas. Remember: Nicotine → VTA → Dopamine → Limbic reinforcement = Addiction.</w:t>
      </w:r>
    </w:p>
    <w:p>
      <w:r>
        <w:t xml:space="preserve">Positive Marks: 1</w:t>
      </w:r>
    </w:p>
    <w:p>
      <w:r>
        <w:t xml:space="preserve">Negative Marks: 0.33</w:t>
      </w:r>
    </w:p>
    <w:p/>
    <w:p>
      <w:r>
        <w:rPr>
          <w:b/>
        </w:rPr>
        <w:t xml:space="preserve">Question: Which clinical finding is most specific and commonly observed in chronic tobacco users?</w:t>
      </w:r>
    </w:p>
    <w:p>
      <w:r>
        <w:t xml:space="preserve">(a) Coarse tremor of hands at rest</w:t>
      </w:r>
    </w:p>
    <w:p>
      <w:r>
        <w:t xml:space="preserve">(b) Yellow-brown staining of teeth, fingers, and nails</w:t>
      </w:r>
    </w:p>
    <w:p>
      <w:r>
        <w:t xml:space="preserve">(c) Ptosis of eyelids</w:t>
      </w:r>
    </w:p>
    <w:p>
      <w:r>
        <w:t xml:space="preserve">(d) Bilateral pupillary dilation</w:t>
      </w:r>
    </w:p>
    <w:p>
      <w:r>
        <w:t xml:space="preserve">Answer: b</w:t>
      </w:r>
    </w:p>
    <w:p>
      <w:r>
        <w:t xml:space="preserve">Solution: Yellow-brown staining from tar and nicotine deposits is pathognomonic for chronic tobacco use, particularly visible on teeth and fingertips. Option A (tremor) is non-specific; option C (ptosis) suggests neurological disease; option D (dilated pupils) occurs with many substances. Exam insight: This visible sign is used in case vignettes to identify chronic smokers immediately.</w:t>
      </w:r>
    </w:p>
    <w:p>
      <w:r>
        <w:t xml:space="preserve">Positive Marks: 1</w:t>
      </w:r>
    </w:p>
    <w:p>
      <w:r>
        <w:t xml:space="preserve">Negative Marks: 0.33</w:t>
      </w:r>
    </w:p>
    <w:p/>
    <w:p>
      <w:r>
        <w:rPr>
          <w:b/>
        </w:rPr>
        <w:t xml:space="preserve">Question: Which evidence-based behavioral intervention is most effective for tobacco cessation?</w:t>
      </w:r>
    </w:p>
    <w:p>
      <w:r>
        <w:t xml:space="preserve">(a) Guilt-based motivational strategies and shame</w:t>
      </w:r>
    </w:p>
    <w:p>
      <w:r>
        <w:t xml:space="preserve">(b) Cognitive-behavioral therapy combined with motivational interviewing</w:t>
      </w:r>
    </w:p>
    <w:p>
      <w:r>
        <w:t xml:space="preserve">(c) Avoidance of discussing tobacco use</w:t>
      </w:r>
    </w:p>
    <w:p>
      <w:r>
        <w:t xml:space="preserve">(d) Abrupt cold-turkey cessation without any support</w:t>
      </w:r>
    </w:p>
    <w:p>
      <w:r>
        <w:t xml:space="preserve">Answer: b</w:t>
      </w:r>
    </w:p>
    <w:p>
      <w:r>
        <w:t xml:space="preserve">Solution: Cognitive-behavioral therapy (CBT) and motivational interviewing (MI) have the strongest evidence for tobacco cessation as they address cravings, triggers, and ambivalence. Option A is counterproductive and increases shame-based relapse. Option C means no intervention; option D has highest relapse rates (80%+). Remember: CBT + MI = Best behavioral outcomes.</w:t>
      </w:r>
    </w:p>
    <w:p>
      <w:r>
        <w:t xml:space="preserve">Positive Marks: 1</w:t>
      </w:r>
    </w:p>
    <w:p>
      <w:r>
        <w:t xml:space="preserve">Negative Marks: 0.33</w:t>
      </w:r>
    </w:p>
    <w:p/>
    <w:p>
      <w:r>
        <w:rPr>
          <w:b/>
        </w:rPr>
        <w:t xml:space="preserve">Question: What is the recommended maximum duration for nicotine replacement therapy (NRT) in tobacco dependence treatment?</w:t>
      </w:r>
    </w:p>
    <w:p>
      <w:r>
        <w:t xml:space="preserve">(a) 2-4 weeks only</w:t>
      </w:r>
    </w:p>
    <w:p>
      <w:r>
        <w:t xml:space="preserve">(b) 8-12 weeks standard duration</w:t>
      </w:r>
    </w:p>
    <w:p>
      <w:r>
        <w:t xml:space="preserve">(c) 6-12 months minimum</w:t>
      </w:r>
    </w:p>
    <w:p>
      <w:r>
        <w:t xml:space="preserve">(d) Indefinite long-term maintenance</w:t>
      </w:r>
    </w:p>
    <w:p>
      <w:r>
        <w:t xml:space="preserve">Answer: b</w:t>
      </w:r>
    </w:p>
    <w:p>
      <w:r>
        <w:t xml:space="preserve">Solution: Standard NRT duration is 8-12 weeks with tapering in final weeks to minimize withdrawal. Option A is too brief and risks failed cessation. Option C and D exceed standard guidelines (though some patients may benefit from extended use under supervision). Evidence-based: 8-12 weeks balances efficacy with preventing nicotine dependence transfer.</w:t>
      </w:r>
    </w:p>
    <w:p>
      <w:r>
        <w:t xml:space="preserve">Positive Marks: 1</w:t>
      </w:r>
    </w:p>
    <w:p>
      <w:r>
        <w:t xml:space="preserve">Negative Marks: 0.33</w:t>
      </w:r>
    </w:p>
    <w:p/>
    <w:p>
      <w:r>
        <w:rPr>
          <w:b/>
        </w:rPr>
        <w:t xml:space="preserve">Question: According to behavioral relapse prevention models, the critical period with highest relapse risk in tobacco cessation is:</w:t>
      </w:r>
    </w:p>
    <w:p>
      <w:r>
        <w:t xml:space="preserve">(a) First 48 hours when initial motivation is high</w:t>
      </w:r>
    </w:p>
    <w:p>
      <w:r>
        <w:t xml:space="preserve">(b) First 3 months when abstinence motivation declines</w:t>
      </w:r>
    </w:p>
    <w:p>
      <w:r>
        <w:t xml:space="preserve">(c) After 1 year of successful abstinence</w:t>
      </w:r>
    </w:p>
    <w:p>
      <w:r>
        <w:t xml:space="preserve">(d) After 5 years when relapse is unlikely</w:t>
      </w:r>
    </w:p>
    <w:p>
      <w:r>
        <w:t xml:space="preserve">Answer: b</w:t>
      </w:r>
    </w:p>
    <w:p>
      <w:r>
        <w:t xml:space="preserve">Solution: Research shows 70-80% of relapses occur within 3 months of cessation, particularly weeks 1-4, as initial motivation fades and coping skills are tested. Option A is misleading as first 48 hours is actually supported; options C and D show lower relapse rates. Clinical pearl: 3-month intensive follow-up is critical for relapse prevention.</w:t>
      </w:r>
    </w:p>
    <w:p>
      <w:r>
        <w:t xml:space="preserve">Positive Marks: 1</w:t>
      </w:r>
    </w:p>
    <w:p>
      <w:r>
        <w:t xml:space="preserve">Negative Marks: 0.33</w:t>
      </w:r>
    </w:p>
    <w:p/>
    <w:p>
      <w:r>
        <w:rPr>
          <w:b/>
        </w:rPr>
        <w:t xml:space="preserve">Question: Which condition is NOT typically associated with chronic tobacco use?</w:t>
      </w:r>
    </w:p>
    <w:p>
      <w:r>
        <w:t xml:space="preserve">(a) Coronary artery disease and myocardial infarction</w:t>
      </w:r>
    </w:p>
    <w:p>
      <w:r>
        <w:t xml:space="preserve">(b) Hypertension and atherosclerosis</w:t>
      </w:r>
    </w:p>
    <w:p>
      <w:r>
        <w:t xml:space="preserve">(c) Congenital pulmonary stenosis</w:t>
      </w:r>
    </w:p>
    <w:p>
      <w:r>
        <w:t xml:space="preserve">(d) Chronic obstructive pulmonary disease</w:t>
      </w:r>
    </w:p>
    <w:p>
      <w:r>
        <w:t xml:space="preserve">Answer: c</w:t>
      </w:r>
    </w:p>
    <w:p>
      <w:r>
        <w:t xml:space="preserve">Solution: Pulmonary stenosis is a congenital valve defect unrelated to tobacco exposure. Options A, B, and D are well-established tobacco-related complications through vascular and pulmonary mechanisms. Test strategy: Look for congenital/genetic conditions when asked what's NOT associated with acquired tobacco dependence.</w:t>
      </w:r>
    </w:p>
    <w:p>
      <w:r>
        <w:t xml:space="preserve">Positive Marks: 1</w:t>
      </w:r>
    </w:p>
    <w:p>
      <w:r>
        <w:t xml:space="preserve">Negative Marks: 0.33</w:t>
      </w:r>
    </w:p>
    <w:p/>
    <w:p>
      <w:r>
        <w:rPr>
          <w:b/>
        </w:rPr>
        <w:t xml:space="preserve">Question: Which FDA-approved medication acts as a partial agonist at nicotinic acetylcholine receptors for tobacco dependence?</w:t>
      </w:r>
    </w:p>
    <w:p>
      <w:r>
        <w:t xml:space="preserve">(a) Buspirone</w:t>
      </w:r>
    </w:p>
    <w:p>
      <w:r>
        <w:t xml:space="preserve">(b) Varenicline</w:t>
      </w:r>
    </w:p>
    <w:p>
      <w:r>
        <w:t xml:space="preserve">(c) Fluoxetine</w:t>
      </w:r>
    </w:p>
    <w:p>
      <w:r>
        <w:t xml:space="preserve">(d) Benztropine</w:t>
      </w:r>
    </w:p>
    <w:p>
      <w:r>
        <w:t xml:space="preserve">Answer: b</w:t>
      </w:r>
    </w:p>
    <w:p>
      <w:r>
        <w:t xml:space="preserve">Solution: Varenicline is a partial agonist at the α4β2 nicotinic receptor, reducing cravings and blocking reward, making it highly effective for cessation. Buspiron (A) treats anxiety; fluoxetine (C) is an SSRI; benztropine (D) is anticholinergic. Mechanism recall: Varenicline = Variable agonist = VEARy effective.</w:t>
      </w:r>
    </w:p>
    <w:p>
      <w:r>
        <w:t xml:space="preserve">Positive Marks: 1</w:t>
      </w:r>
    </w:p>
    <w:p>
      <w:r>
        <w:t xml:space="preserve">Negative Marks: 0.33</w:t>
      </w:r>
    </w:p>
    <w:p/>
    <w:p>
      <w:r>
        <w:rPr>
          <w:b/>
        </w:rPr>
        <w:t xml:space="preserve">Question: In cognitive-behavioral therapy for tobacco dependence, addressing high-risk situations primarily aims to achieve:</w:t>
      </w:r>
    </w:p>
    <w:p>
      <w:r>
        <w:t xml:space="preserve">(a) Complete elimination of all stress responses</w:t>
      </w:r>
    </w:p>
    <w:p>
      <w:r>
        <w:t xml:space="preserve">(b) Development and rehearsal of coping strategies for identified triggers</w:t>
      </w:r>
    </w:p>
    <w:p>
      <w:r>
        <w:t xml:space="preserve">(c) Social isolation to avoid relapse triggers</w:t>
      </w:r>
    </w:p>
    <w:p>
      <w:r>
        <w:t xml:space="preserve">(d) Unconscious suppression of all cravings</w:t>
      </w:r>
    </w:p>
    <w:p>
      <w:r>
        <w:t xml:space="preserve">Answer: b</w:t>
      </w:r>
    </w:p>
    <w:p>
      <w:r>
        <w:t xml:space="preserve">Solution: CBT teaches realistic coping strategies for identified high-risk situations (stress, social smoking, negative emotions) rather than eliminating triggers or isolation. Option A is unrealistic; option C worsens outcomes; option D isn't possible with CBT. Core CBT principle: Manage triggers through practical skills, not avoidance.</w:t>
      </w:r>
    </w:p>
    <w:p>
      <w:r>
        <w:t xml:space="preserve">Positive Marks: 1</w:t>
      </w:r>
    </w:p>
    <w:p>
      <w:r>
        <w:t xml:space="preserve">Negative Marks: 0.33</w:t>
      </w:r>
    </w:p>
    <w:p/>
    <w:p>
      <w:r>
        <w:rPr>
          <w:b/>
        </w:rPr>
        <w:t xml:space="preserve">Question: The typical timeline for complete tobacco cessation when combining NRT with structured behavioral therapy is:</w:t>
      </w:r>
    </w:p>
    <w:p>
      <w:r>
        <w:t xml:space="preserve">(a) Immediate cessation on first day of treatment</w:t>
      </w:r>
    </w:p>
    <w:p>
      <w:r>
        <w:t xml:space="preserve">(b) Gradual reduction over 8-12 weeks with structured tapering</w:t>
      </w:r>
    </w:p>
    <w:p>
      <w:r>
        <w:t xml:space="preserve">(c) Rapid cessation within 3-5 days without gradual reduction</w:t>
      </w:r>
    </w:p>
    <w:p>
      <w:r>
        <w:t xml:space="preserve">(d) Extended gradual reduction over 6-12 months with minimal structure</w:t>
      </w:r>
    </w:p>
    <w:p>
      <w:r>
        <w:t xml:space="preserve">Answer: b</w:t>
      </w:r>
    </w:p>
    <w:p>
      <w:r>
        <w:t xml:space="preserve">Solution: Evidence-based approach combines gradual NRT tapering over 8-12 weeks with concurrent behavioral therapy for optimal outcomes and minimal withdrawal. Option A is unrealistic; option C risks severe withdrawal; option D has poor adherence. Best practice: Structured 8-12 week program with regular follow-up.</w:t>
      </w:r>
    </w:p>
    <w:p>
      <w:r>
        <w:t xml:space="preserve">Positive Marks: 1</w:t>
      </w:r>
    </w:p>
    <w:p>
      <w:r>
        <w:t xml:space="preserve">Negative Marks: 0.33</w:t>
      </w:r>
    </w:p>
    <w:p/>
    <w:p>
      <w:r>
        <w:rPr>
          <w:b/>
        </w:rPr>
        <w:t xml:space="preserve">Question: Chronic nicotine exposure leads to upregulation of which receptor type, explaining tolerance and escalating consumption?</w:t>
      </w:r>
    </w:p>
    <w:p>
      <w:r>
        <w:t xml:space="preserve">(a) Muscarinic acetylcholine receptors causing parasympathomimetic effects</w:t>
      </w:r>
    </w:p>
    <w:p>
      <w:r>
        <w:t xml:space="preserve">(b) High-affinity nicotinic receptors with increased number and sensitivity</w:t>
      </w:r>
    </w:p>
    <w:p>
      <w:r>
        <w:t xml:space="preserve">(c) Dopaminergic receptors in prefrontal cortex only</w:t>
      </w:r>
    </w:p>
    <w:p>
      <w:r>
        <w:t xml:space="preserve">(d) GABA receptors causing increased inhibition</w:t>
      </w:r>
    </w:p>
    <w:p>
      <w:r>
        <w:t xml:space="preserve">Answer: b</w:t>
      </w:r>
    </w:p>
    <w:p>
      <w:r>
        <w:t xml:space="preserve">Solution: Chronic nicotine binding to nicotinic receptors causes upregulation (increased number) of receptors, particularly high-affinity α4β2 subtypes, leading to tolerance and increased dosing behavior. Options A, C, D involve different receptor systems not primarily responsible for tolerance. Pathophysiology pearl: Upregulation = Adaptation = Addiction progression.</w:t>
      </w:r>
    </w:p>
    <w:p>
      <w:r>
        <w:t xml:space="preserve">Positive Marks: 1</w:t>
      </w:r>
    </w:p>
    <w:p>
      <w:r>
        <w:t xml:space="preserve">Negative Marks: 0.33</w:t>
      </w:r>
    </w:p>
    <w:p/>
    <w:p>
      <w:r>
        <w:rPr>
          <w:b/>
        </w:rPr>
        <w:t xml:space="preserve">Question: When prescribing varenicline for tobacco dependence, the appropriate dosing strategy involves:</w:t>
      </w:r>
    </w:p>
    <w:p>
      <w:r>
        <w:t xml:space="preserve">(a) Full therapeutic dose from day 1 of treatment</w:t>
      </w:r>
    </w:p>
    <w:p>
      <w:r>
        <w:t xml:space="preserve">(b) Gradual titration over 3-7 days to minimize gastrointestinal side effects</w:t>
      </w:r>
    </w:p>
    <w:p>
      <w:r>
        <w:t xml:space="preserve">(c) Intermittent dosing only during subjective cravings</w:t>
      </w:r>
    </w:p>
    <w:p>
      <w:r>
        <w:t xml:space="preserve">(d) Fixed maximum dose throughout entire treatment period</w:t>
      </w:r>
    </w:p>
    <w:p>
      <w:r>
        <w:t xml:space="preserve">Answer: b</w:t>
      </w:r>
    </w:p>
    <w:p>
      <w:r>
        <w:t xml:space="preserve">Solution: Varenicline requires gradual titration (days 1-3: 0.5mg daily; days 4-7: 0.5mg BID; then 1mg BID) to minimize nausea and GI upset which are common reasons for treatment discontinuation. Option A causes severe GI side effects; option C reduces effectiveness; option D isn't standard practice. Mnemonic: Start low, go slow with varenicline.</w:t>
      </w:r>
    </w:p>
    <w:p>
      <w:r>
        <w:t xml:space="preserve">Positive Marks: 1</w:t>
      </w:r>
    </w:p>
    <w:p>
      <w:r>
        <w:t xml:space="preserve">Negative Marks: 0.33</w:t>
      </w:r>
    </w:p>
    <w:p/>
    <w:p>
      <w:r>
        <w:rPr>
          <w:b/>
        </w:rPr>
        <w:t xml:space="preserve">Question: Which combination of pharmacological agents has demonstrated superior cessation rates compared to monotherapy in tobacco dependence?</w:t>
      </w:r>
    </w:p>
    <w:p>
      <w:r>
        <w:t xml:space="preserve">(a) Varenicline combined with high-dose bupropion requiring careful monitoring</w:t>
      </w:r>
    </w:p>
    <w:p>
      <w:r>
        <w:t xml:space="preserve">(b) Nicotine replacement therapy combined with varenicline or bupropion</w:t>
      </w:r>
    </w:p>
    <w:p>
      <w:r>
        <w:t xml:space="preserve">(c) Multiple NRT formulations alone without additional pharmacotherapy</w:t>
      </w:r>
    </w:p>
    <w:p>
      <w:r>
        <w:t xml:space="preserve">(d) Opioid agonists combined with naltrexone antagonists</w:t>
      </w:r>
    </w:p>
    <w:p>
      <w:r>
        <w:t xml:space="preserve">Answer: b</w:t>
      </w:r>
    </w:p>
    <w:p>
      <w:r>
        <w:t xml:space="preserve">Solution: Combination NRT (e.g., patch + short-acting form) with varenicline or bupropion shows 50-70% cessation rates vs. 35-40% with monotherapy. Option A increases toxicity risk; option C is less effective than combinations; option D is not indicated. Evidence-based strategy: Combination therapy addresses multiple neurobiological pathways.</w:t>
      </w:r>
    </w:p>
    <w:p>
      <w:r>
        <w:t xml:space="preserve">Positive Marks: 1</w:t>
      </w:r>
    </w:p>
    <w:p>
      <w:r>
        <w:t xml:space="preserve">Negative Marks: 0.33</w:t>
      </w:r>
    </w:p>
    <w:p/>
    <w:p>
      <w:r>
        <w:rPr>
          <w:b/>
        </w:rPr>
        <w:t xml:space="preserve">Question: Which population demonstrates particularly high relapse rates in tobacco cessation due to self-medication of underlying symptoms?</w:t>
      </w:r>
    </w:p>
    <w:p>
      <w:r>
        <w:t xml:space="preserve">(a) Individuals with bipolar disorder on stable mood stabilizer therapy</w:t>
      </w:r>
    </w:p>
    <w:p>
      <w:r>
        <w:t xml:space="preserve">(b) Individuals with untreated depression, anxiety, and ADHD</w:t>
      </w:r>
    </w:p>
    <w:p>
      <w:r>
        <w:t xml:space="preserve">(c) Healthcare professionals with high cessation awareness</w:t>
      </w:r>
    </w:p>
    <w:p>
      <w:r>
        <w:t xml:space="preserve">(d) Economically wealthy individuals with high resource access</w:t>
      </w:r>
    </w:p>
    <w:p>
      <w:r>
        <w:t xml:space="preserve">Answer: b</w:t>
      </w:r>
    </w:p>
    <w:p>
      <w:r>
        <w:t xml:space="preserve">Solution: Comorbid untreated depression and anxiety disorders significantly predict relapse as smokers self-medicate mood and anxiety symptoms with nicotine. Option A has stabilized mood; option C has high motivation; option D has resource advantage. Clinical implication: Screen for and treat comorbid psychiatric disorders during tobacco cessation programs.</w:t>
      </w:r>
    </w:p>
    <w:p>
      <w:r>
        <w:t xml:space="preserve">Positive Marks: 1</w:t>
      </w:r>
    </w:p>
    <w:p>
      <w:r>
        <w:t xml:space="preserve">Negative Marks: 0.33</w:t>
      </w:r>
    </w:p>
    <w:p/>
    <w:p>
      <w:r>
        <w:rPr>
          <w:b/>
        </w:rPr>
        <w:t xml:space="preserve">Question: Protracted withdrawal syndrome occurring weeks to months after tobacco cessation primarily includes which symptom cluster?</w:t>
      </w:r>
    </w:p>
    <w:p>
      <w:r>
        <w:t xml:space="preserve">(a) Acute tachycardia, hypertension, and severe respiratory distress</w:t>
      </w:r>
    </w:p>
    <w:p>
      <w:r>
        <w:t xml:space="preserve">(b) Anhedonia, depressed mood, cognitive difficulties, and persistent cravings</w:t>
      </w:r>
    </w:p>
    <w:p>
      <w:r>
        <w:t xml:space="preserve">(c) Acute psychotic symptoms requiring immediate hospitalization</w:t>
      </w:r>
    </w:p>
    <w:p>
      <w:r>
        <w:t xml:space="preserve">(d) Tremors and seizures indicating severe neurological dysfunction</w:t>
      </w:r>
    </w:p>
    <w:p>
      <w:r>
        <w:t xml:space="preserve">Answer: b</w:t>
      </w:r>
    </w:p>
    <w:p>
      <w:r>
        <w:t xml:space="preserve">Solution: Protracted withdrawal (lasting weeks to months) is characterized by anhedonia and dysphoria as dopamine regulation normalizes, distinct from acute physical symptoms. Option A represents acute withdrawal; option C is rare and not typical tobacco withdrawal; option D suggests benzodiazepine withdrawal. Important: Recognize protracted withdrawal to maintain relapse prevention support.</w:t>
      </w:r>
    </w:p>
    <w:p>
      <w:r>
        <w:t xml:space="preserve">Positive Marks: 1</w:t>
      </w:r>
    </w:p>
    <w:p>
      <w:r>
        <w:t xml:space="preserve">Negative Marks: 0.33</w:t>
      </w:r>
    </w:p>
    <w:p/>
    <w:p>
      <w:r>
        <w:rPr>
          <w:b/>
        </w:rPr>
        <w:t xml:space="preserve">Question: Which evidence-based psychosocial framework emphasizes the cyclical stages of change (contemplation → preparation → action → maintenance) in tobacco dependence treatment?</w:t>
      </w:r>
    </w:p>
    <w:p>
      <w:r>
        <w:t xml:space="preserve">(a) Rational Emotive Behavior Therapy focusing on cognitive distortions</w:t>
      </w:r>
    </w:p>
    <w:p>
      <w:r>
        <w:t xml:space="preserve">(b) Transtheoretical Model of Change describing readiness stages</w:t>
      </w:r>
    </w:p>
    <w:p>
      <w:r>
        <w:t xml:space="preserve">(c) Classical psychodynamic psychotherapy addressing unconscious conflicts</w:t>
      </w:r>
    </w:p>
    <w:p>
      <w:r>
        <w:t xml:space="preserve">(d) Applied Behavior Analysis using contingency management alone</w:t>
      </w:r>
    </w:p>
    <w:p>
      <w:r>
        <w:t xml:space="preserve">Answer: b</w:t>
      </w:r>
    </w:p>
    <w:p>
      <w:r>
        <w:t xml:space="preserve">Solution: The Transtheoretical Model (Prochaska &amp; DiClemente) describes stages of change and is foundational for tobacco cessation counseling, explaining why some users fail initially but succeed later. Option A focuses on thoughts; option C on unconscious material; option D on behaviors only. Clinical application: Match interventions to patient's stage for better outcomes.</w:t>
      </w:r>
    </w:p>
    <w:p>
      <w:r>
        <w:t xml:space="preserve">Positive Marks: 1</w:t>
      </w:r>
    </w:p>
    <w:p>
      <w:r>
        <w:t xml:space="preserve">Negative Marks: 0.33</w:t>
      </w:r>
    </w:p>
    <w:sectPr>
      <w:pgSz w:w="11906" w:h="16838"/>
      <w:pgMar w:top="1134" w:right="1134" w:bottom="1134" w:left="1134"/>
    </w:sectPr>
  </w:body>
</w:document>
</file>