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most common form of tobacco use globally?</w:t>
      </w:r>
    </w:p>
    <w:p>
      <w:r>
        <w:t xml:space="preserve">(a) Cigarette smoking</w:t>
      </w:r>
    </w:p>
    <w:p>
      <w:r>
        <w:t xml:space="preserve">(b) Chewing tobacco</w:t>
      </w:r>
    </w:p>
    <w:p>
      <w:r>
        <w:t xml:space="preserve">(c) Snuff</w:t>
      </w:r>
    </w:p>
    <w:p>
      <w:r>
        <w:t xml:space="preserve">(d) Pipe smoking</w:t>
      </w:r>
    </w:p>
    <w:p>
      <w:r>
        <w:t xml:space="preserve">Answer: a</w:t>
      </w:r>
    </w:p>
    <w:p>
      <w:r>
        <w:t xml:space="preserve">Solution: Cigarette smoking is the most prevalent form of tobacco use globally, accounting for the majority of tobacco-related deaths and representing 70% of all tobacco consumption. Chewing tobacco and snuff are regional variants more common in South Asia but less prevalent worldwide. Pipe smoking has declined significantly over recent decades. Understanding the epidemiology of tobacco types guides targeted intervention strategies in different populations and regions.</w:t>
      </w:r>
    </w:p>
    <w:p>
      <w:r>
        <w:t xml:space="preserve">Positive Marks: 1</w:t>
      </w:r>
    </w:p>
    <w:p>
      <w:r>
        <w:t xml:space="preserve">Negative Marks: 0.33</w:t>
      </w:r>
    </w:p>
    <w:p/>
    <w:p>
      <w:r>
        <w:rPr>
          <w:b/>
        </w:rPr>
        <w:t xml:space="preserve">Question: Which organ is the primary target of tobacco smoke damage?</w:t>
      </w:r>
    </w:p>
    <w:p>
      <w:r>
        <w:t xml:space="preserve">(a) Liver</w:t>
      </w:r>
    </w:p>
    <w:p>
      <w:r>
        <w:t xml:space="preserve">(b) Lungs</w:t>
      </w:r>
    </w:p>
    <w:p>
      <w:r>
        <w:t xml:space="preserve">(c) Pancreas</w:t>
      </w:r>
    </w:p>
    <w:p>
      <w:r>
        <w:t xml:space="preserve">(d) Kidney</w:t>
      </w:r>
    </w:p>
    <w:p>
      <w:r>
        <w:t xml:space="preserve">Answer: b</w:t>
      </w:r>
    </w:p>
    <w:p>
      <w:r>
        <w:t xml:space="preserve">Solution: The lungs are the primary target organ for tobacco smoke, causing chronic obstructive pulmonary disease (COPD), lung cancer, and bronchitis. While tobacco affects multiple organs including liver (cirrhosis), pancreas (cancer), and kidneys, the respiratory system bears direct and most severe impact. Lung cancer and COPD are the leading tobacco-related causes of death globally. This is why respiratory assessment is central in tobacco use evaluation.</w:t>
      </w:r>
    </w:p>
    <w:p>
      <w:r>
        <w:t xml:space="preserve">Positive Marks: 1</w:t>
      </w:r>
    </w:p>
    <w:p>
      <w:r>
        <w:t xml:space="preserve">Negative Marks: 0.33</w:t>
      </w:r>
    </w:p>
    <w:p/>
    <w:p>
      <w:r>
        <w:rPr>
          <w:b/>
        </w:rPr>
        <w:t xml:space="preserve">Question: According to WHO, how many deaths are caused by tobacco use annually worldwide?</w:t>
      </w:r>
    </w:p>
    <w:p>
      <w:r>
        <w:t xml:space="preserve">(a) 2 million</w:t>
      </w:r>
    </w:p>
    <w:p>
      <w:r>
        <w:t xml:space="preserve">(b) 5 million</w:t>
      </w:r>
    </w:p>
    <w:p>
      <w:r>
        <w:t xml:space="preserve">(c) 8 million</w:t>
      </w:r>
    </w:p>
    <w:p>
      <w:r>
        <w:t xml:space="preserve">(d) 10 million</w:t>
      </w:r>
    </w:p>
    <w:p>
      <w:r>
        <w:t xml:space="preserve">Answer: c</w:t>
      </w:r>
    </w:p>
    <w:p>
      <w:r>
        <w:t xml:space="preserve">Solution: WHO estimates approximately 8 million deaths annually from tobacco use globally (with some estimates reaching 9 million). This includes direct smoking-related deaths (about 7 million) and secondhand smoke exposure (approximately 1.2 million). The figure 5 million refers specifically to direct smokers. Understanding the true burden of tobacco deaths emphasizes the critical importance of tobacco control as a global health priority in community health nursing.</w:t>
      </w:r>
    </w:p>
    <w:p>
      <w:r>
        <w:t xml:space="preserve">Positive Marks: 1</w:t>
      </w:r>
    </w:p>
    <w:p>
      <w:r>
        <w:t xml:space="preserve">Negative Marks: 0.33</w:t>
      </w:r>
    </w:p>
    <w:p/>
    <w:p>
      <w:r>
        <w:rPr>
          <w:b/>
        </w:rPr>
        <w:t xml:space="preserve">Question: What is the primary goal of primary prevention in tobacco control programs?</w:t>
      </w:r>
    </w:p>
    <w:p>
      <w:r>
        <w:t xml:space="preserve">(a) Early detection of smoking-related cancers</w:t>
      </w:r>
    </w:p>
    <w:p>
      <w:r>
        <w:t xml:space="preserve">(b) Preventing initiation of tobacco use</w:t>
      </w:r>
    </w:p>
    <w:p>
      <w:r>
        <w:t xml:space="preserve">(c) Treatment of nicotine addiction</w:t>
      </w:r>
    </w:p>
    <w:p>
      <w:r>
        <w:t xml:space="preserve">(d) Rehabilitation of heavy smokers</w:t>
      </w:r>
    </w:p>
    <w:p>
      <w:r>
        <w:t xml:space="preserve">Answer: b</w:t>
      </w:r>
    </w:p>
    <w:p>
      <w:r>
        <w:t xml:space="preserve">Solution: Primary prevention aims to prevent the initiation of tobacco use, particularly in youth through education and policy interventions. Secondary prevention focuses on early detection of tobacco-related diseases, while tertiary prevention addresses treatment and rehabilitation. Primary prevention is the most cost-effective strategy since prevention is better than cure. School-based programs, media campaigns, and smoke-free policies are key primary prevention tools.</w:t>
      </w:r>
    </w:p>
    <w:p>
      <w:r>
        <w:t xml:space="preserve">Positive Marks: 1</w:t>
      </w:r>
    </w:p>
    <w:p>
      <w:r>
        <w:t xml:space="preserve">Negative Marks: 0.33</w:t>
      </w:r>
    </w:p>
    <w:p/>
    <w:p>
      <w:r>
        <w:rPr>
          <w:b/>
        </w:rPr>
        <w:t xml:space="preserve">Question: Which of the following is a validated screening tool for assessing nicotine dependence in community settings?</w:t>
      </w:r>
    </w:p>
    <w:p>
      <w:r>
        <w:t xml:space="preserve">(a) Brief Tobacco Intervention Scale</w:t>
      </w:r>
    </w:p>
    <w:p>
      <w:r>
        <w:t xml:space="preserve">(b) Fagerstrom Test for Nicotine Dependence</w:t>
      </w:r>
    </w:p>
    <w:p>
      <w:r>
        <w:t xml:space="preserve">(c) Primary Care Evaluation of Mental Disorders</w:t>
      </w:r>
    </w:p>
    <w:p>
      <w:r>
        <w:t xml:space="preserve">(d) Patient Health Questionnaire-9</w:t>
      </w:r>
    </w:p>
    <w:p>
      <w:r>
        <w:t xml:space="preserve">Answer: b</w:t>
      </w:r>
    </w:p>
    <w:p>
      <w:r>
        <w:t xml:space="preserve">Solution: The Fagerstrom Test for Nicotine Dependence (FTND) is a validated 6-item screening tool specifically designed to assess physical dependence on nicotine. The FTND score (0-10) determines intensity of nicotine replacement therapy needed and predicts abstinence success. The Brief Tobacco Intervention Scale is not a standard validated tool for dependence assessment. PHQ and PRIME-MD assess psychiatric conditions, not nicotine dependence. FTND is recommended by INC guidelines for pre-cessation assessment.</w:t>
      </w:r>
    </w:p>
    <w:p>
      <w:r>
        <w:t xml:space="preserve">Positive Marks: 1</w:t>
      </w:r>
    </w:p>
    <w:p>
      <w:r>
        <w:t xml:space="preserve">Negative Marks: 0.33</w:t>
      </w:r>
    </w:p>
    <w:p/>
    <w:p>
      <w:r>
        <w:rPr>
          <w:b/>
        </w:rPr>
        <w:t xml:space="preserve">Question: Which counseling model is most evidence-based for smoking cessation incorporating both motivational interviewing and behavioral change strategies?</w:t>
      </w:r>
    </w:p>
    <w:p>
      <w:r>
        <w:t xml:space="preserve">(a) Psychoanalytic therapy</w:t>
      </w:r>
    </w:p>
    <w:p>
      <w:r>
        <w:t xml:space="preserve">(b) Rational emotive behavior therapy</w:t>
      </w:r>
    </w:p>
    <w:p>
      <w:r>
        <w:t xml:space="preserve">(c) Transtheoretical Model (Stages of Change)</w:t>
      </w:r>
    </w:p>
    <w:p>
      <w:r>
        <w:t xml:space="preserve">(d) Dialectical behavior therapy</w:t>
      </w:r>
    </w:p>
    <w:p>
      <w:r>
        <w:t xml:space="preserve">Answer: c</w:t>
      </w:r>
    </w:p>
    <w:p>
      <w:r>
        <w:t xml:space="preserve">Solution: The Transtheoretical Model (Stages of Change) is the most evidence-based approach for smoking cessation, addressing precontemplation, contemplation, preparation, action, and maintenance stages. This model tailors interventions based on readiness to change and combines motivational interviewing with cognitive-behavioral principles. REBT focuses on irrational beliefs but lacks addiction-specific efficacy. Psychoanalytic therapy and DBT are not primary modalities for tobacco dependence. This model guides community health nurses in stage-appropriate counseling.</w:t>
      </w:r>
    </w:p>
    <w:p>
      <w:r>
        <w:t xml:space="preserve">Positive Marks: 1</w:t>
      </w:r>
    </w:p>
    <w:p>
      <w:r>
        <w:t xml:space="preserve">Negative Marks: 0.33</w:t>
      </w:r>
    </w:p>
    <w:p/>
    <w:p>
      <w:r>
        <w:rPr>
          <w:b/>
        </w:rPr>
        <w:t xml:space="preserve">Question: Which form of nicotine replacement therapy demonstrates the highest compliance rate in smoking cessation programs?</w:t>
      </w:r>
    </w:p>
    <w:p>
      <w:r>
        <w:t xml:space="preserve">(a) Nicotine gum</w:t>
      </w:r>
    </w:p>
    <w:p>
      <w:r>
        <w:t xml:space="preserve">(b) Nicotine transdermal patch</w:t>
      </w:r>
    </w:p>
    <w:p>
      <w:r>
        <w:t xml:space="preserve">(c) Nicotine nasal spray</w:t>
      </w:r>
    </w:p>
    <w:p>
      <w:r>
        <w:t xml:space="preserve">(d) Nicotine inhalator</w:t>
      </w:r>
    </w:p>
    <w:p>
      <w:r>
        <w:t xml:space="preserve">Answer: b</w:t>
      </w:r>
    </w:p>
    <w:p>
      <w:r>
        <w:t xml:space="preserve">Solution: Nicotine transdermal patches have the highest compliance rate due to once-daily application and steady, continuous nicotine delivery without active user effort. Nicotine gum requires frequent chewing (every 1-2 hours) reducing compliance. Nasal spray and inhalators cause local irritation and require multiple daily applications. Patches maintain steady plasma nicotine levels, reducing breakthrough cravings. Combination therapy (patch plus short-acting form for breakthrough cravings) is often more effective than monotherapy for moderate-to-severe dependence.</w:t>
      </w:r>
    </w:p>
    <w:p>
      <w:r>
        <w:t xml:space="preserve">Positive Marks: 1</w:t>
      </w:r>
    </w:p>
    <w:p>
      <w:r>
        <w:t xml:space="preserve">Negative Marks: 0.33</w:t>
      </w:r>
    </w:p>
    <w:p/>
    <w:p>
      <w:r>
        <w:rPr>
          <w:b/>
        </w:rPr>
        <w:t xml:space="preserve">Question: Which symptom is MOST prominent during the acute phase of tobacco withdrawal?</w:t>
      </w:r>
    </w:p>
    <w:p>
      <w:r>
        <w:t xml:space="preserve">(a) Hyperthermia and fever</w:t>
      </w:r>
    </w:p>
    <w:p>
      <w:r>
        <w:t xml:space="preserve">(b) Persistent tachycardia</w:t>
      </w:r>
    </w:p>
    <w:p>
      <w:r>
        <w:t xml:space="preserve">(c) Irritability, anxiety, and mood disturbance</w:t>
      </w:r>
    </w:p>
    <w:p>
      <w:r>
        <w:t xml:space="preserve">(d) Severe hypertensive crisis</w:t>
      </w:r>
    </w:p>
    <w:p>
      <w:r>
        <w:t xml:space="preserve">Answer: c</w:t>
      </w:r>
    </w:p>
    <w:p>
      <w:r>
        <w:t xml:space="preserve">Solution: Irritability, anxiety, depressed mood, and difficulty concentrating are the most prominent psychological symptoms of nicotine withdrawal, appearing within 24-48 hours of cessation. These psychological symptoms cause more relapse than physical withdrawal. The withdrawal syndrome is not life-threatening (unlike alcohol/benzodiazepine withdrawal). Memory aid 'SHADES': Sleep disturbance, Hunger increased, Anxiety, Depression, Difficulty concentrating, Excessive irritability, Smoking urges. Symptom management improves cessation success rates.</w:t>
      </w:r>
    </w:p>
    <w:p>
      <w:r>
        <w:t xml:space="preserve">Positive Marks: 1</w:t>
      </w:r>
    </w:p>
    <w:p>
      <w:r>
        <w:t xml:space="preserve">Negative Marks: 0.33</w:t>
      </w:r>
    </w:p>
    <w:p/>
    <w:p>
      <w:r>
        <w:rPr>
          <w:b/>
        </w:rPr>
        <w:t xml:space="preserve">Question: Why is screening and brief intervention for tobacco use particularly critical in pregnant women?</w:t>
      </w:r>
    </w:p>
    <w:p>
      <w:r>
        <w:t xml:space="preserve">(a) To prevent maternal gestational diabetes</w:t>
      </w:r>
    </w:p>
    <w:p>
      <w:r>
        <w:t xml:space="preserve">(b) To reduce preterm birth and intrauterine growth restriction</w:t>
      </w:r>
    </w:p>
    <w:p>
      <w:r>
        <w:t xml:space="preserve">(c) To prevent postpartum hemorrhage</w:t>
      </w:r>
    </w:p>
    <w:p>
      <w:r>
        <w:t xml:space="preserve">(d) To improve infant feeding capacity</w:t>
      </w:r>
    </w:p>
    <w:p>
      <w:r>
        <w:t xml:space="preserve">Answer: b</w:t>
      </w:r>
    </w:p>
    <w:p>
      <w:r>
        <w:t xml:space="preserve">Solution: Tobacco use during pregnancy significantly increases risks of preterm birth, intrauterine growth restriction (IUGR), placental abnormalities, low birth weight, and neonatal complications. Smoking during pregnancy is one of the most modifiable risk factors for adverse fetal outcomes. Even secondhand smoke exposure increases these risks. First-trimester screening and brief intervention yield best outcomes. This is a high-priority intervention in prenatal community health nursing to improve maternal-fetal health outcomes.</w:t>
      </w:r>
    </w:p>
    <w:p>
      <w:r>
        <w:t xml:space="preserve">Positive Marks: 1</w:t>
      </w:r>
    </w:p>
    <w:p>
      <w:r>
        <w:t xml:space="preserve">Negative Marks: 0.33</w:t>
      </w:r>
    </w:p>
    <w:p/>
    <w:p>
      <w:r>
        <w:rPr>
          <w:b/>
        </w:rPr>
        <w:t xml:space="preserve">Question: Which policy-level intervention demonstrates the MOST significant population-level effect in reducing tobacco consumption?</w:t>
      </w:r>
    </w:p>
    <w:p>
      <w:r>
        <w:t xml:space="preserve">(a) Tobacco taxation and price increase</w:t>
      </w:r>
    </w:p>
    <w:p>
      <w:r>
        <w:t xml:space="preserve">(b) Health education and awareness campaigns</w:t>
      </w:r>
    </w:p>
    <w:p>
      <w:r>
        <w:t xml:space="preserve">(c) Banning tobacco advertisements</w:t>
      </w:r>
    </w:p>
    <w:p>
      <w:r>
        <w:t xml:space="preserve">(d) Provision of free counseling services</w:t>
      </w:r>
    </w:p>
    <w:p>
      <w:r>
        <w:t xml:space="preserve">Answer: a</w:t>
      </w:r>
    </w:p>
    <w:p>
      <w:r>
        <w:t xml:space="preserve">Solution: Tobacco taxation and price increases create substantial economic barriers to access, particularly affecting youth and low-income groups who are price-sensitive. Research shows a 1% increase in tobacco price reduces consumption by 0.4-0.8%, with greater effects in lower-income populations. Multiple interventions combined work best, but taxation has strongest population-level impact. WHO Framework Convention on Tobacco Control recommends taxation as a key strategy. While education and advertising bans are important, economic interventions show superior compliance-independent effectiveness.</w:t>
      </w:r>
    </w:p>
    <w:p>
      <w:r>
        <w:t xml:space="preserve">Positive Marks: 1</w:t>
      </w:r>
    </w:p>
    <w:p>
      <w:r>
        <w:t xml:space="preserve">Negative Marks: 0.33</w:t>
      </w:r>
    </w:p>
    <w:p/>
    <w:p>
      <w:r>
        <w:rPr>
          <w:b/>
        </w:rPr>
        <w:t xml:space="preserve">Question: According to ICD-10 diagnostic criteria, which category requires near-daily alcohol consumption for at least one month to diagnose alcohol dependence syndrome?</w:t>
      </w:r>
    </w:p>
    <w:p>
      <w:r>
        <w:t xml:space="preserve">(a) Hazardous use</w:t>
      </w:r>
    </w:p>
    <w:p>
      <w:r>
        <w:t xml:space="preserve">(b) Harmful use</w:t>
      </w:r>
    </w:p>
    <w:p>
      <w:r>
        <w:t xml:space="preserve">(c) Alcohol dependence syndrome</w:t>
      </w:r>
    </w:p>
    <w:p>
      <w:r>
        <w:t xml:space="preserve">(d) Acute intoxication</w:t>
      </w:r>
    </w:p>
    <w:p>
      <w:r>
        <w:t xml:space="preserve">Answer: c</w:t>
      </w:r>
    </w:p>
    <w:p>
      <w:r>
        <w:t xml:space="preserve">Solution: Alcohol dependence syndrome requires evidence of dependence manifested by daily or near-daily consumption for at least one month, with loss of control and persistence despite harmful consequences. Hazardous use implies risky consumption patterns but doesn't meet dependence criteria. Harmful use involves documented health or social consequences but lacks dependence features. This distinction is critical for severity assessment and treatment planning. Dependence carries higher relapse risk and requires more intensive interventions including possible pharmacotherapy.</w:t>
      </w:r>
    </w:p>
    <w:p>
      <w:r>
        <w:t xml:space="preserve">Positive Marks: 1</w:t>
      </w:r>
    </w:p>
    <w:p>
      <w:r>
        <w:t xml:space="preserve">Negative Marks: 0.33</w:t>
      </w:r>
    </w:p>
    <w:p/>
    <w:p>
      <w:r>
        <w:rPr>
          <w:b/>
        </w:rPr>
        <w:t xml:space="preserve">Question: What is the recommended maximum duration for Brief Intervention counseling in primary care for hazardous alcohol use?</w:t>
      </w:r>
    </w:p>
    <w:p>
      <w:r>
        <w:t xml:space="preserve">(a) 3-5 minutes</w:t>
      </w:r>
    </w:p>
    <w:p>
      <w:r>
        <w:t xml:space="preserve">(b) 10-15 minutes</w:t>
      </w:r>
    </w:p>
    <w:p>
      <w:r>
        <w:t xml:space="preserve">(c) 30-45 minutes</w:t>
      </w:r>
    </w:p>
    <w:p>
      <w:r>
        <w:t xml:space="preserve">(d) 60-90 minutes</w:t>
      </w:r>
    </w:p>
    <w:p>
      <w:r>
        <w:t xml:space="preserve">Answer: b</w:t>
      </w:r>
    </w:p>
    <w:p>
      <w:r>
        <w:t xml:space="preserve">Solution: Brief Intervention (BI) for hazardous alcohol use typically lasts 10-15 minutes, making it feasible to implement in busy primary care settings. Shorter opportunistic interventions (3-5 min) lack sufficient evidence. BI shows 8-12% reduction in hazardous drinking patterns at 6-month follow-up when delivered systematically. BI uses FRAMES approach: Feedback, Responsibility, Advice, Menu of options, Empathy, Self-efficacy. This duration allows community health workers and nurses to deliver evidence-based brief interventions alongside routine care.</w:t>
      </w:r>
    </w:p>
    <w:p>
      <w:r>
        <w:t xml:space="preserve">Positive Marks: 1</w:t>
      </w:r>
    </w:p>
    <w:p>
      <w:r>
        <w:t xml:space="preserve">Negative Marks: 0.33</w:t>
      </w:r>
    </w:p>
    <w:p/>
    <w:p>
      <w:r>
        <w:rPr>
          <w:b/>
        </w:rPr>
        <w:t xml:space="preserve">Question: Which psychosocial factor is MOST strongly associated with substance abuse initiation in adolescents?</w:t>
      </w:r>
    </w:p>
    <w:p>
      <w:r>
        <w:t xml:space="preserve">(a) Poor school performance</w:t>
      </w:r>
    </w:p>
    <w:p>
      <w:r>
        <w:t xml:space="preserve">(b) Peer influence and social pressure from peers</w:t>
      </w:r>
    </w:p>
    <w:p>
      <w:r>
        <w:t xml:space="preserve">(c) Low socioeconomic status</w:t>
      </w:r>
    </w:p>
    <w:p>
      <w:r>
        <w:t xml:space="preserve">(d) Urban residence versus rural location</w:t>
      </w:r>
    </w:p>
    <w:p>
      <w:r>
        <w:t xml:space="preserve">Answer: b</w:t>
      </w:r>
    </w:p>
    <w:p>
      <w:r>
        <w:t xml:space="preserve">Solution: Peer influence and peer pressure are the strongest psychosocial predictors of adolescent substance use initiation, accounting for the majority of cases. Family history of addiction and early behavioral problems follow as secondary factors. While socioeconomic status plays a role, peer factors consistently override it in adolescent populations. This is why school-based and community prevention programs emphasizing peer resistance skills and positive peer modeling are effective. Understanding peer dynamics is essential for targeting adolescent substance abuse prevention strategies.</w:t>
      </w:r>
    </w:p>
    <w:p>
      <w:r>
        <w:t xml:space="preserve">Positive Marks: 1</w:t>
      </w:r>
    </w:p>
    <w:p>
      <w:r>
        <w:t xml:space="preserve">Negative Marks: 0.33</w:t>
      </w:r>
    </w:p>
    <w:p/>
    <w:p>
      <w:r>
        <w:rPr>
          <w:b/>
        </w:rPr>
        <w:t xml:space="preserve">Question: Which strategy is MOST effective in preventing relapse during substance use recovery?</w:t>
      </w:r>
    </w:p>
    <w:p>
      <w:r>
        <w:t xml:space="preserve">(a) Complete social isolation from all acquaintances</w:t>
      </w:r>
    </w:p>
    <w:p>
      <w:r>
        <w:t xml:space="preserve">(b) Identification of high-risk situations and development of specific coping strategies</w:t>
      </w:r>
    </w:p>
    <w:p>
      <w:r>
        <w:t xml:space="preserve">(c) Strict punishment protocols for any lapse episode</w:t>
      </w:r>
    </w:p>
    <w:p>
      <w:r>
        <w:t xml:space="preserve">(d) Immediate psychiatric hospitalization upon experiencing urges</w:t>
      </w:r>
    </w:p>
    <w:p>
      <w:r>
        <w:t xml:space="preserve">Answer: b</w:t>
      </w:r>
    </w:p>
    <w:p>
      <w:r>
        <w:t xml:space="preserve">Solution: Identifying high-risk situations (stress, negative emotions, social triggers, specific people/places) and developing specific coping strategies is the cornerstone of relapse prevention in substance abuse recovery. This cognitive-behavioral approach helps persons recognize early warning signs and implement alternatives before relapse. Complete isolation increases depression and poor outcomes. Relapse should be viewed as learning opportunity, not punishment-triggering event. Self-efficacy building and social support integration are essential. This is evidence-based relapse prevention therapy (RPT).</w:t>
      </w:r>
    </w:p>
    <w:p>
      <w:r>
        <w:t xml:space="preserve">Positive Marks: 1</w:t>
      </w:r>
    </w:p>
    <w:p>
      <w:r>
        <w:t xml:space="preserve">Negative Marks: 0.33</w:t>
      </w:r>
    </w:p>
    <w:p/>
    <w:p>
      <w:r>
        <w:rPr>
          <w:b/>
        </w:rPr>
        <w:t xml:space="preserve">Question: A 45-year-old man with concurrent tobacco and alcohol dependence is considered for combined pharmacotherapy (varenicline plus naltrexone). What is the primary clinical rationale?</w:t>
      </w:r>
    </w:p>
    <w:p>
      <w:r>
        <w:t xml:space="preserve">(a) To prevent potential drug-drug interactions between substances</w:t>
      </w:r>
    </w:p>
    <w:p>
      <w:r>
        <w:t xml:space="preserve">(b) To address distinct neurobiological pathways and reduce cross-addiction risk</w:t>
      </w:r>
    </w:p>
    <w:p>
      <w:r>
        <w:t xml:space="preserve">(c) To reduce overall cost of pharmacological treatment</w:t>
      </w:r>
    </w:p>
    <w:p>
      <w:r>
        <w:t xml:space="preserve">(d) To eliminate the need for concurrent psychotherapy or counseling</w:t>
      </w:r>
    </w:p>
    <w:p>
      <w:r>
        <w:t xml:space="preserve">Answer: b</w:t>
      </w:r>
    </w:p>
    <w:p>
      <w:r>
        <w:t xml:space="preserve">Solution: Dual dependence involves different neurobiological pathways: nicotine primarily affects dopamine in reward centers, while alcohol affects GABA and glutamate systems. Combined pharmacotherapy addresses both distinct pathways, reducing cross-addiction risk (switching from one substance to another after cessation of primary). Varenicline provides partial dopamine agonism for nicotine craving; naltrexone blocks opioid receptors reducing alcohol craving. Monotherapy often leads to substitution behavior. This approach requires careful monitoring for interactions and must be combined with behavioral interventions—pharmacotherapy alone is insufficient.</w:t>
      </w:r>
    </w:p>
    <w:p>
      <w:r>
        <w:t xml:space="preserve">Positive Marks: 1</w:t>
      </w:r>
    </w:p>
    <w:p>
      <w:r>
        <w:t xml:space="preserve">Negative Marks: 0.33</w:t>
      </w:r>
    </w:p>
    <w:p/>
    <w:p>
      <w:r>
        <w:rPr>
          <w:b/>
        </w:rPr>
        <w:t xml:space="preserve">Question: In a patient taking bupropion for smoking cessation who subsequently develops hypertension, what is the clinical significance of this finding?</w:t>
      </w:r>
    </w:p>
    <w:p>
      <w:r>
        <w:t xml:space="preserve">(a) Bupropion should be immediately discontinued due to teratogenicity</w:t>
      </w:r>
    </w:p>
    <w:p>
      <w:r>
        <w:t xml:space="preserve">(b) Bupropion can increase blood pressure through noradrenergic mechanisms and may precipitate hypertensive episodes</w:t>
      </w:r>
    </w:p>
    <w:p>
      <w:r>
        <w:t xml:space="preserve">(c) Hypertension is solely attributable to nicotine withdrawal physiology</w:t>
      </w:r>
    </w:p>
    <w:p>
      <w:r>
        <w:t xml:space="preserve">(d) No clinical adjustment is needed as bupropion exerts antihypertensive effects</w:t>
      </w:r>
    </w:p>
    <w:p>
      <w:r>
        <w:t xml:space="preserve">Answer: b</w:t>
      </w:r>
    </w:p>
    <w:p>
      <w:r>
        <w:t xml:space="preserve">Solution: Bupropion (atypical antidepressant) increases blood pressure in 5-10% of users through enhanced noradrenergic neurotransmission, independent of nicotine withdrawal. It is contraindicated in uncontrolled hypertension or seizure disorder history, requiring baseline BP assessment. Since smoking itself causes hypertension, combined bupropion-smoking effects significantly increase cardiovascular risk. Blood pressure monitoring during bupropion therapy is mandatory. Alternatives (varenicline, NRT) should be considered if hypertension develops. This represents pharmacological-physiological interaction requiring careful clinical judgment.</w:t>
      </w:r>
    </w:p>
    <w:p>
      <w:r>
        <w:t xml:space="preserve">Positive Marks: 1</w:t>
      </w:r>
    </w:p>
    <w:p>
      <w:r>
        <w:t xml:space="preserve">Negative Marks: 0.33</w:t>
      </w:r>
    </w:p>
    <w:p/>
    <w:p>
      <w:r>
        <w:rPr>
          <w:b/>
        </w:rPr>
        <w:t xml:space="preserve">Question: Why do pregnant smokers experience higher therapeutic failure rates in standard smoking cessation programs?</w:t>
      </w:r>
    </w:p>
    <w:p>
      <w:r>
        <w:t xml:space="preserve">(a) Pregnancy-related hormones physiologically enhance nicotine addiction severity</w:t>
      </w:r>
    </w:p>
    <w:p>
      <w:r>
        <w:t xml:space="preserve">(b) Increased stress and hormonal fluctuations substantially reduce motivation for cessation</w:t>
      </w:r>
    </w:p>
    <w:p>
      <w:r>
        <w:t xml:space="preserve">(c) Pregnancy increases hepatic nicotine metabolism, leading to more severe withdrawal symptoms requiring higher NRT dosing</w:t>
      </w:r>
    </w:p>
    <w:p>
      <w:r>
        <w:t xml:space="preserve">(d) Pregnancy creates a protective biological environment against nicotine toxicity</w:t>
      </w:r>
    </w:p>
    <w:p>
      <w:r>
        <w:t xml:space="preserve">Answer: c</w:t>
      </w:r>
    </w:p>
    <w:p>
      <w:r>
        <w:t xml:space="preserve">Solution: Pregnancy increases cigarette smoke metabolism (particularly in third trimester) through enhanced hepatic metabolism and increased glomerular filtration, leading to lower nicotine plasma levels and intensified withdrawal symptoms. Pregnant women typically require 2-3 times higher NRT doses in combination therapy compared to non-pregnant smokers. Motivation is usually high in pregnancy (fetal health concerns), but physiological changes create biological barriers to success. Standard cessation protocols fail because they don't account for these pregnancy-induced metabolic changes. Individualized, pregnancy-specific programs with appropriate dosage adjustments show significantly better outcomes.</w:t>
      </w:r>
    </w:p>
    <w:p>
      <w:r>
        <w:t xml:space="preserve">Positive Marks: 1</w:t>
      </w:r>
    </w:p>
    <w:p>
      <w:r>
        <w:t xml:space="preserve">Negative Marks: 0.33</w:t>
      </w:r>
    </w:p>
    <w:p/>
    <w:p>
      <w:r>
        <w:rPr>
          <w:b/>
        </w:rPr>
        <w:t xml:space="preserve">Question: An NGO reports 40% sustained abstinence at 12 months in their tobacco cessation program. What is the critical methodological limitation that must be evaluated for validity assessment?</w:t>
      </w:r>
    </w:p>
    <w:p>
      <w:r>
        <w:t xml:space="preserve">(a) The 40% success rate is implausibly high based on published literature</w:t>
      </w:r>
    </w:p>
    <w:p>
      <w:r>
        <w:t xml:space="preserve">(b) Loss to follow-up and attrition bias could artificially inflate success rates if not properly accounted in analysis</w:t>
      </w:r>
    </w:p>
    <w:p>
      <w:r>
        <w:t xml:space="preserve">(c) Smoking cessation programs demonstrably never achieve abstinence rates above 20%</w:t>
      </w:r>
    </w:p>
    <w:p>
      <w:r>
        <w:t xml:space="preserve">(d) Program participants did not receive pharmacological medication support</w:t>
      </w:r>
    </w:p>
    <w:p>
      <w:r>
        <w:t xml:space="preserve">Answer: b</w:t>
      </w:r>
    </w:p>
    <w:p>
      <w:r>
        <w:t xml:space="preserve">Solution: Critical methodological appraisal must account for loss-to-follow-up (attrition bias), which can substantially inflate apparent success rates. If 60% of enrolled participants are lost and only 'responders' are counted, true success is far lower than reported. Standard evidence-based reporting requires intention-to-treat (ITT) analysis where lost participants are conservatively counted as failures. Published programs report 15-35% sustained abstinence with proper ITT analysis. Without rigorous accounting for dropouts and proper ITT methodology, program efficacy claims cannot guide policy decisions or inform community health nursing practice.</w:t>
      </w:r>
    </w:p>
    <w:p>
      <w:r>
        <w:t xml:space="preserve">Positive Marks: 1</w:t>
      </w:r>
    </w:p>
    <w:p>
      <w:r>
        <w:t xml:space="preserve">Negative Marks: 0.33</w:t>
      </w:r>
    </w:p>
    <w:p/>
    <w:p>
      <w:r>
        <w:rPr>
          <w:b/>
        </w:rPr>
        <w:t xml:space="preserve">Question: What epidemiological phenomenon explains why tobacco smoking rates decline in high-income countries while simultaneously increasing in low- and middle-income countries?</w:t>
      </w:r>
    </w:p>
    <w:p>
      <w:r>
        <w:t xml:space="preserve">(a) Genetic differences in nicotine addiction susceptibility across populations</w:t>
      </w:r>
    </w:p>
    <w:p>
      <w:r>
        <w:t xml:space="preserve">(b) Aggressive tobacco industry marketing in LMICs combined with weak regulatory frameworks and economic vulnerability</w:t>
      </w:r>
    </w:p>
    <w:p>
      <w:r>
        <w:t xml:space="preserve">(c) Higher ambient air pollution in LMICs reduces appeal of cigarette smoking</w:t>
      </w:r>
    </w:p>
    <w:p>
      <w:r>
        <w:t xml:space="preserve">(d) High-income countries have achieved complete elimination of tobacco production</w:t>
      </w:r>
    </w:p>
    <w:p>
      <w:r>
        <w:t xml:space="preserve">Answer: b</w:t>
      </w:r>
    </w:p>
    <w:p>
      <w:r>
        <w:t xml:space="preserve">Solution: This represents the 'global tobacco epidemic shift' where multinational tobacco companies aggressively market in LMICs as high-income country markets mature due to strong legislation and cultural shifts. LMICs typically have weaker regulatory frameworks, cheaper tobacco products, lower taxation rates, and greater economic vulnerability. Tobacco companies exploit aspirational marketing and sponsorships in developing nations. Meanwhile, HICs have strict legislation, high taxation, comprehensive health warnings, and cultural opposition to smoking. This is not genetically driven but a consequence of socioeconomic factors and industry strategy. Understanding this pattern is critical for global health advocacy and policy in tobacco-vulnerable regions like India.</w:t>
      </w:r>
    </w:p>
    <w:p>
      <w:r>
        <w:t xml:space="preserve">Positive Marks: 1</w:t>
      </w:r>
    </w:p>
    <w:p>
      <w:r>
        <w:t xml:space="preserve">Negative Marks: 0.33</w:t>
      </w:r>
    </w:p>
    <w:p/>
    <w:p>
      <w:r>
        <w:rPr>
          <w:b/>
        </w:rPr>
        <w:t xml:space="preserve">Question: When implementing comprehensive tobacco control in a resource-limited rural community where tobacco farming is economically significant, which strategy best addresses both individual and structural determinants?</w:t>
      </w:r>
    </w:p>
    <w:p>
      <w:r>
        <w:t xml:space="preserve">(a) Distributing free nicotine patches to all interested smokers without systemic support</w:t>
      </w:r>
    </w:p>
    <w:p>
      <w:r>
        <w:t xml:space="preserve">(b) Integrated approach combining school-based prevention, taxation advocacy, alternative livelihood support for farmers, and community mobilization</w:t>
      </w:r>
    </w:p>
    <w:p>
      <w:r>
        <w:t xml:space="preserve">(c) Focusing exclusively on identifying and counseling high-risk individuals</w:t>
      </w:r>
    </w:p>
    <w:p>
      <w:r>
        <w:t xml:space="preserve">(d) Relying on healthcare workers to provide cessation services without institutional infrastructure support</w:t>
      </w:r>
    </w:p>
    <w:p>
      <w:r>
        <w:t xml:space="preserve">Answer: b</w:t>
      </w:r>
    </w:p>
    <w:p>
      <w:r>
        <w:t xml:space="preserve">Solution: Comprehensive tobacco control requires integrated multi-level intervention addressing individual (knowledge, skills), community (peer norms), organizational (healthcare systems), and structural (policies, taxation, economics) levels. School-based programs prevent initiation in youth; farmer livelihood support addresses economic determinants of production; community mobilization builds social movements; taxation creates affordability barriers. This approach aligns with WHO MPOWER and ITC Framework Convention on Tobacco Control. Single-level interventions (counseling only or taxation alone) show limited effectiveness. In India and rural regions, simultaneously addressing farmers' economic needs through crop substitution while implementing demand-reduction strategies yields sustainable tobacco control outcomes.</w:t>
      </w:r>
    </w:p>
    <w:p>
      <w:r>
        <w:t xml:space="preserve">Positive Marks: 1</w:t>
      </w:r>
    </w:p>
    <w:p>
      <w:r>
        <w:t xml:space="preserve">Negative Marks: 0.33</w:t>
      </w:r>
    </w:p>
    <w:sectPr>
      <w:pgSz w:w="11906" w:h="16838"/>
      <w:pgMar w:top="1134" w:right="1134" w:bottom="1134" w:left="1134"/>
    </w:sectPr>
  </w:body>
</w:document>
</file>