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INC guidelines, occupational health is defined as a multidisciplinary activity aimed at protecting workers' health. Which of the following is NOT a component of occupational health nursing?</w:t>
      </w:r>
    </w:p>
    <w:p>
      <w:r>
        <w:t xml:space="preserve">(a) Health promotion and disease prevention</w:t>
      </w:r>
    </w:p>
    <w:p>
      <w:r>
        <w:t xml:space="preserve">(b) Case management and individual counseling</w:t>
      </w:r>
    </w:p>
    <w:p>
      <w:r>
        <w:t xml:space="preserve">(c) Direct clinical treatment of acute illnesses</w:t>
      </w:r>
    </w:p>
    <w:p>
      <w:r>
        <w:t xml:space="preserve">(d) Environmental health assessment and monitoring</w:t>
      </w:r>
    </w:p>
    <w:p>
      <w:r>
        <w:t xml:space="preserve">Answer: c</w:t>
      </w:r>
    </w:p>
    <w:p>
      <w:r>
        <w:t xml:space="preserve">Solution: Occupational health nursing focuses on health promotion, prevention, and environmental assessment rather than primary clinical treatment. Option A covers health promotion which IS a core component. Option B includes counseling which IS occupational health nursing's role. Option D environmental assessment IS occupational health nursing's responsibility. Option C (direct clinical treatment) is the responsibility of occupational physicians or general healthcare providers, not specifically occupational health nurses. Remember: OHN = Prevention, Protection, Promotion, not primary treatment.</w:t>
      </w:r>
    </w:p>
    <w:p>
      <w:r>
        <w:t xml:space="preserve">Positive Marks: 1</w:t>
      </w:r>
    </w:p>
    <w:p>
      <w:r>
        <w:t xml:space="preserve">Negative Marks: 0.33</w:t>
      </w:r>
    </w:p>
    <w:p/>
    <w:p>
      <w:r>
        <w:rPr>
          <w:b/>
        </w:rPr>
        <w:t xml:space="preserve">Question: Which occupational hazard is most prevalent among construction workers in India according to recent epidemiological data?</w:t>
      </w:r>
    </w:p>
    <w:p>
      <w:r>
        <w:t xml:space="preserve">(a) Repetitive strain injuries</w:t>
      </w:r>
    </w:p>
    <w:p>
      <w:r>
        <w:t xml:space="preserve">(b) Silica dust exposure and silicosis</w:t>
      </w:r>
    </w:p>
    <w:p>
      <w:r>
        <w:t xml:space="preserve">(c) Chemical dermatitis</w:t>
      </w:r>
    </w:p>
    <w:p>
      <w:r>
        <w:t xml:space="preserve">(d) Biological vector-borne infections</w:t>
      </w:r>
    </w:p>
    <w:p>
      <w:r>
        <w:t xml:space="preserve">Answer: b</w:t>
      </w:r>
    </w:p>
    <w:p>
      <w:r>
        <w:t xml:space="preserve">Solution: Silica dust exposure leading to silicosis is the most prevalent occupational hazard among construction and mining workers in India. This is well-documented in Indian occupational health registries and epidemiological studies. While repetitive strain injuries occur, they are less prevalent than dust diseases in construction. Chemical dermatitis and biological infections are less common in this population. Silicosis remains a leading cause of occupational morbidity in India's construction industry, making option B the best answer.</w:t>
      </w:r>
    </w:p>
    <w:p>
      <w:r>
        <w:t xml:space="preserve">Positive Marks: 1</w:t>
      </w:r>
    </w:p>
    <w:p>
      <w:r>
        <w:t xml:space="preserve">Negative Marks: 0.33</w:t>
      </w:r>
    </w:p>
    <w:p/>
    <w:p>
      <w:r>
        <w:rPr>
          <w:b/>
        </w:rPr>
        <w:t xml:space="preserve">Question: According to Park's Textbook of Preventive and Social Medicine, an occupational disease is defined by specific criteria. Which feature is ESSENTIAL for classification as an occupational disease?</w:t>
      </w:r>
    </w:p>
    <w:p>
      <w:r>
        <w:t xml:space="preserve">(a) The disease occurs only in workers over 50 years of age</w:t>
      </w:r>
    </w:p>
    <w:p>
      <w:r>
        <w:t xml:space="preserve">(b) There is a direct causal relationship between occupational exposure and disease development</w:t>
      </w:r>
    </w:p>
    <w:p>
      <w:r>
        <w:t xml:space="preserve">(c) The disease is communicable and can spread to the general population</w:t>
      </w:r>
    </w:p>
    <w:p>
      <w:r>
        <w:t xml:space="preserve">(d) Symptoms appear within 24 hours of occupational exposure</w:t>
      </w:r>
    </w:p>
    <w:p>
      <w:r>
        <w:t xml:space="preserve">Answer: b</w:t>
      </w:r>
    </w:p>
    <w:p>
      <w:r>
        <w:t xml:space="preserve">Solution: The defining criterion of an occupational disease is the direct causal relationship between occupational exposure and disease development. This causation must be scientifically established and recognized. Age of onset (option A) is not a defining feature - occupational diseases can occur at any age. Communicability (option C) is irrelevant to occupational disease classification. Timing of symptom appearance (option D) varies greatly depending on the disease and exposure; latency periods can range from hours to decades (e.g., asbestos-related cancers). Option B captures the essential epidemiological requirement for occupational disease designation.</w:t>
      </w:r>
    </w:p>
    <w:p>
      <w:r>
        <w:t xml:space="preserve">Positive Marks: 1</w:t>
      </w:r>
    </w:p>
    <w:p>
      <w:r>
        <w:t xml:space="preserve">Negative Marks: 0.33</w:t>
      </w:r>
    </w:p>
    <w:p/>
    <w:p>
      <w:r>
        <w:rPr>
          <w:b/>
        </w:rPr>
        <w:t xml:space="preserve">Question: Which of the following is considered the MOST important element in the hierarchy of controls for occupational hazard prevention?</w:t>
      </w:r>
    </w:p>
    <w:p>
      <w:r>
        <w:t xml:space="preserve">(a) Use of personal protective equipment (PPE)</w:t>
      </w:r>
    </w:p>
    <w:p>
      <w:r>
        <w:t xml:space="preserve">(b) Elimination or substitution of the hazard</w:t>
      </w:r>
    </w:p>
    <w:p>
      <w:r>
        <w:t xml:space="preserve">(c) Administrative controls and work rotation</w:t>
      </w:r>
    </w:p>
    <w:p>
      <w:r>
        <w:t xml:space="preserve">(d) Engineering controls like machine guarding</w:t>
      </w:r>
    </w:p>
    <w:p>
      <w:r>
        <w:t xml:space="preserve">Answer: b</w:t>
      </w:r>
    </w:p>
    <w:p>
      <w:r>
        <w:t xml:space="preserve">Solution: The hierarchy of controls prioritizes elimination or substitution of hazards as the most effective intervention because it removes the hazard at the source. PPE (option A) is the least effective as it relies on worker compliance and only protects the individual. Administrative controls (option C) are intermediate but don't remove the hazard. Engineering controls (option D) are second-tier and very effective but less preferable than elimination. The hierarchy principle: Eliminate &gt; Substitute &gt; Engineer &gt; Administrative &gt; PPE. This is universally accepted in occupational safety, including WHO and ILO guidelines.</w:t>
      </w:r>
    </w:p>
    <w:p>
      <w:r>
        <w:t xml:space="preserve">Positive Marks: 1</w:t>
      </w:r>
    </w:p>
    <w:p>
      <w:r>
        <w:t xml:space="preserve">Negative Marks: 0.33</w:t>
      </w:r>
    </w:p>
    <w:p/>
    <w:p>
      <w:r>
        <w:rPr>
          <w:b/>
        </w:rPr>
        <w:t xml:space="preserve">Question: A worker exposed to noise levels of 95 dB(A) for 10 hours daily develops hearing loss after 8 years of exposure. Which frequency range is typically affected FIRST in noise-induced hearing loss?</w:t>
      </w:r>
    </w:p>
    <w:p>
      <w:r>
        <w:t xml:space="preserve">(a) Frequencies below 500 Hz (low frequencies)</w:t>
      </w:r>
    </w:p>
    <w:p>
      <w:r>
        <w:t xml:space="preserve">(b) Frequencies around 4000 Hz (notch frequency)</w:t>
      </w:r>
    </w:p>
    <w:p>
      <w:r>
        <w:t xml:space="preserve">(c) Frequencies above 8000 Hz (ultra-high frequencies)</w:t>
      </w:r>
    </w:p>
    <w:p>
      <w:r>
        <w:t xml:space="preserve">(d) All frequencies affected equally</w:t>
      </w:r>
    </w:p>
    <w:p>
      <w:r>
        <w:t xml:space="preserve">Answer: b</w:t>
      </w:r>
    </w:p>
    <w:p>
      <w:r>
        <w:t xml:space="preserve">Solution: Noise-induced hearing loss (NIHL) classically presents with a characteristic notch at 4000 Hz (4 kHz), which is the frequency most vulnerable to acoustic trauma. This occurs before hearing loss at speech frequencies (500-3000 Hz) or ultra-high frequencies. The 4 kHz notch is a pathognomonic finding in occupational NIHL and appears as a distinctive dip on audiometry. Workers may not notice this initial hearing loss because speech discrimination (1000-3000 Hz) remains intact, allowing them to continue working unaware. Memory aid: 4 kHz notch = Classic NIHL fingerprint. This is documented in Brunner &amp; Suddarth and occupational health textbooks.</w:t>
      </w:r>
    </w:p>
    <w:p>
      <w:r>
        <w:t xml:space="preserve">Positive Marks: 1</w:t>
      </w:r>
    </w:p>
    <w:p>
      <w:r>
        <w:t xml:space="preserve">Negative Marks: 0.33</w:t>
      </w:r>
    </w:p>
    <w:p/>
    <w:p>
      <w:r>
        <w:rPr>
          <w:b/>
        </w:rPr>
        <w:t xml:space="preserve">Question: According to the INC syllabus and international occupational health standards, silicosis is classified into stages based on radiological findings. What is the DEFINING feature of Stage 2 (complicated) silicosis?</w:t>
      </w:r>
    </w:p>
    <w:p>
      <w:r>
        <w:t xml:space="preserve">(a) Simple pneumoconiosis with small opacities &lt;10 mm in upper lung zones</w:t>
      </w:r>
    </w:p>
    <w:p>
      <w:r>
        <w:t xml:space="preserve">(b) Complicated pneumoconiosis with progressive massive fibrosis (PMF) involving &gt;10 mm opacities</w:t>
      </w:r>
    </w:p>
    <w:p>
      <w:r>
        <w:t xml:space="preserve">(c) Complete resolution of radiological findings with clinical remission</w:t>
      </w:r>
    </w:p>
    <w:p>
      <w:r>
        <w:t xml:space="preserve">(d) Presence of silicosis symptoms only without radiological changes</w:t>
      </w:r>
    </w:p>
    <w:p>
      <w:r>
        <w:t xml:space="preserve">Answer: b</w:t>
      </w:r>
    </w:p>
    <w:p>
      <w:r>
        <w:t xml:space="preserve">Solution: Stage 2 (complicated) silicosis is characterized by progressive massive fibrosis (PMF) with opacities greater than 10 mm, representing progression from simple to complicated disease. Option A describes Stage 1 (simple silicosis) with small nodular opacities. Option C represents resolution which doesn't occur in silicosis - it's a progressive disease. Option D contradicts the staging system which relies on radiological classification (ILO classification). The transition from Stage 1 to Stage 2 marks the development of progressive massive fibrosis, significantly affecting lung function and prognosis. Classification: Stage 1 (small opacities) → Stage 2 (PMF/complicated) → Stage 3 (advanced PMF).</w:t>
      </w:r>
    </w:p>
    <w:p>
      <w:r>
        <w:t xml:space="preserve">Positive Marks: 1</w:t>
      </w:r>
    </w:p>
    <w:p>
      <w:r>
        <w:t xml:space="preserve">Negative Marks: 0.33</w:t>
      </w:r>
    </w:p>
    <w:p/>
    <w:p>
      <w:r>
        <w:rPr>
          <w:b/>
        </w:rPr>
        <w:t xml:space="preserve">Question: A textile factory worker presents with dyspnea and pleural thickening on chest X-ray after 20 years of exposure to asbestos dust. Which finding on high-resolution CT scan would be MOST specific for asbestos-related disease?</w:t>
      </w:r>
    </w:p>
    <w:p>
      <w:r>
        <w:t xml:space="preserve">(a) Bilateral hilar lymphadenopathy</w:t>
      </w:r>
    </w:p>
    <w:p>
      <w:r>
        <w:t xml:space="preserve">(b) Bilateral pleural plaques with calcification</w:t>
      </w:r>
    </w:p>
    <w:p>
      <w:r>
        <w:t xml:space="preserve">(c) Diffuse interstitial infiltrates</w:t>
      </w:r>
    </w:p>
    <w:p>
      <w:r>
        <w:t xml:space="preserve">(d) Cavitary lesions in upper lobes</w:t>
      </w:r>
    </w:p>
    <w:p>
      <w:r>
        <w:t xml:space="preserve">Answer: b</w:t>
      </w:r>
    </w:p>
    <w:p>
      <w:r>
        <w:t xml:space="preserve">Solution: Bilateral pleural plaques with calcification are pathognomonic for asbestos exposure and represent the most specific finding for asbestos-related benign pleural disease. Option A (hilar lymphadenopathy) suggests sarcoidosis or tuberculosis. Option C (diffuse interstitial infiltrates) is non-specific and seen in various pneumoconioses. Option D (cavitary lesions) suggests tuberculosis, not asbestos exposure. Pleural plaques develop 10-20 years post-exposure and indicate significant cumulative asbestos exposure. The characteristic 'shaggy heart sign' or pleural calcification on imaging is diagnostic. Asbestos exposure also increases risk of mesothelioma and lung cancer, but the pleural plaques are the most characteristic benign finding.</w:t>
      </w:r>
    </w:p>
    <w:p>
      <w:r>
        <w:t xml:space="preserve">Positive Marks: 1</w:t>
      </w:r>
    </w:p>
    <w:p>
      <w:r>
        <w:t xml:space="preserve">Negative Marks: 0.33</w:t>
      </w:r>
    </w:p>
    <w:p/>
    <w:p>
      <w:r>
        <w:rPr>
          <w:b/>
        </w:rPr>
        <w:t xml:space="preserve">Question: An agricultural chemical factory worker developing acute symptoms after exposure to organophosphate pesticides. Which of the following occupational health intervention is PRIORITY in this scenario?</w:t>
      </w:r>
    </w:p>
    <w:p>
      <w:r>
        <w:t xml:space="preserve">(a) Administrative investigation and workplace redesign</w:t>
      </w:r>
    </w:p>
    <w:p>
      <w:r>
        <w:t xml:space="preserve">(b) Immediate medical evaluation and emergency treatment</w:t>
      </w:r>
    </w:p>
    <w:p>
      <w:r>
        <w:t xml:space="preserve">(c) Long-term health monitoring and epidemiological surveillance</w:t>
      </w:r>
    </w:p>
    <w:p>
      <w:r>
        <w:t xml:space="preserve">(d) Engineering controls and ventilation system upgrade</w:t>
      </w:r>
    </w:p>
    <w:p>
      <w:r>
        <w:t xml:space="preserve">Answer: b</w:t>
      </w:r>
    </w:p>
    <w:p>
      <w:r>
        <w:t xml:space="preserve">Solution: In acute chemical exposure scenarios, immediate medical evaluation and emergency treatment takes priority over all other interventions to prevent serious harm or death. Option A (investigation) is important but secondary to acute care. Option C (surveillance) is a long-term measure, not applicable in acute situations. Option D (engineering) prevents future exposure but doesn't address the current emergency. Organophosphate pesticides cause cholinergic crisis which requires immediate atropine and pralidoxime therapy. Occupational health follows the principle: Acute crisis management → Stabilization → Investigation → Long-term prevention. This aligns with emergency management protocols and duty of care in occupational health.</w:t>
      </w:r>
    </w:p>
    <w:p>
      <w:r>
        <w:t xml:space="preserve">Positive Marks: 1</w:t>
      </w:r>
    </w:p>
    <w:p>
      <w:r>
        <w:t xml:space="preserve">Negative Marks: 0.33</w:t>
      </w:r>
    </w:p>
    <w:p/>
    <w:p>
      <w:r>
        <w:rPr>
          <w:b/>
        </w:rPr>
        <w:t xml:space="preserve">Question: According to ergonomic standards for occupational health, what is the RECOMMENDED viewing distance and angle for computer workstations to prevent musculoskeletal disorders?</w:t>
      </w:r>
    </w:p>
    <w:p>
      <w:r>
        <w:t xml:space="preserve">(a) 30-40 cm viewing distance with monitor at or above eye level</w:t>
      </w:r>
    </w:p>
    <w:p>
      <w:r>
        <w:t xml:space="preserve">(b) 50-70 cm viewing distance with monitor tilted 15-20 degrees below horizontal eye level</w:t>
      </w:r>
    </w:p>
    <w:p>
      <w:r>
        <w:t xml:space="preserve">(c) 20-30 cm viewing distance with monitor positioned at 45-degree angle</w:t>
      </w:r>
    </w:p>
    <w:p>
      <w:r>
        <w:t xml:space="preserve">(d) 80-100 cm viewing distance with monitor slightly above eye level</w:t>
      </w:r>
    </w:p>
    <w:p>
      <w:r>
        <w:t xml:space="preserve">Answer: b</w:t>
      </w:r>
    </w:p>
    <w:p>
      <w:r>
        <w:t xml:space="preserve">Solution: The ergonomic standard viewing distance for computer monitors is 50-70 cm (approximately arm's length) with the monitor positioned 15-20 degrees BELOW horizontal eye level to reduce neck and eye strain. Option A (30-40 cm) is too close and causes eye fatigue. Option C (20-30 cm with 45 degrees) is far too close and awkward. Option D (80-100 cm) is too far and reduces monitor visibility. This recommendation comes from NIOSH guidelines and ILO standards for VDU (visual display unit) work. The downward gaze angle of 15-20 degrees naturally closes eyelids more, reducing dry eye syndrome. Proper workstation ergonomics can reduce repetitive strain injuries (RSI) by 50-60% according to occupational health studies.</w:t>
      </w:r>
    </w:p>
    <w:p>
      <w:r>
        <w:t xml:space="preserve">Positive Marks: 1</w:t>
      </w:r>
    </w:p>
    <w:p>
      <w:r>
        <w:t xml:space="preserve">Negative Marks: 0.33</w:t>
      </w:r>
    </w:p>
    <w:p/>
    <w:p>
      <w:r>
        <w:rPr>
          <w:b/>
        </w:rPr>
        <w:t xml:space="preserve">Question: According to the hierarchy of controls and INC guidelines for occupational hazard prevention, which intervention represents ENGINEERING CONTROLS in a noisy manufacturing unit?</w:t>
      </w:r>
    </w:p>
    <w:p>
      <w:r>
        <w:t xml:space="preserve">(a) Mandatory use of earplugs and earmuffs for all workers</w:t>
      </w:r>
    </w:p>
    <w:p>
      <w:r>
        <w:t xml:space="preserve">(b) Rotation of workers between noisy and quiet work areas</w:t>
      </w:r>
    </w:p>
    <w:p>
      <w:r>
        <w:t xml:space="preserve">(c) Installation of sound-dampening materials and machine enclosures</w:t>
      </w:r>
    </w:p>
    <w:p>
      <w:r>
        <w:t xml:space="preserve">(d) Periodic audiometric screening and health education programs</w:t>
      </w:r>
    </w:p>
    <w:p>
      <w:r>
        <w:t xml:space="preserve">Answer: c</w:t>
      </w:r>
    </w:p>
    <w:p>
      <w:r>
        <w:t xml:space="preserve">Solution: Engineering controls involve modifying or removing the hazard at its source; installation of sound-dampening materials and machine enclosures exemplifies this approach. Option A (PPE) is personal protective equipment, the least effective tier of the hierarchy. Option B (job rotation) represents administrative controls, which are intermediate measures. Option D (screening and education) falls under administrative and surveillance measures. Engineering controls are the second-most effective prevention strategy and act on the environment, not on worker behavior. In noise control, examples include: silencers on machinery, vibration isolation mounts, and acoustic enclosures. This aligns with the WHO and ILO framework for occupational health interventions.</w:t>
      </w:r>
    </w:p>
    <w:p>
      <w:r>
        <w:t xml:space="preserve">Positive Marks: 1</w:t>
      </w:r>
    </w:p>
    <w:p>
      <w:r>
        <w:t xml:space="preserve">Negative Marks: 0.33</w:t>
      </w:r>
    </w:p>
    <w:p/>
    <w:p>
      <w:r>
        <w:rPr>
          <w:b/>
        </w:rPr>
        <w:t xml:space="preserve">Question: A foundry worker exposed to radiant heat develops symptoms of heat exhaustion during summer months despite adequate water intake. According to occupational health standards, what is the THRESHOLD wet-bulb globe temperature (WBGT) above which mandatory work stoppage should be implemented?</w:t>
      </w:r>
    </w:p>
    <w:p>
      <w:r>
        <w:t xml:space="preserve">(a) 28°C WBGT for moderate physical work</w:t>
      </w:r>
    </w:p>
    <w:p>
      <w:r>
        <w:t xml:space="preserve">(b) 30°C WBGT for moderate physical work</w:t>
      </w:r>
    </w:p>
    <w:p>
      <w:r>
        <w:t xml:space="preserve">(c) 32°C WBGT for moderate physical work</w:t>
      </w:r>
    </w:p>
    <w:p>
      <w:r>
        <w:t xml:space="preserve">(d) 35°C WBGT for moderate physical work</w:t>
      </w:r>
    </w:p>
    <w:p>
      <w:r>
        <w:t xml:space="preserve">Answer: b</w:t>
      </w:r>
    </w:p>
    <w:p>
      <w:r>
        <w:t xml:space="preserve">Solution: According to NIOSH and ILO guidelines adopted in India, the threshold WBGT for mandatory work stoppage during moderate physical work is 30°C. Option A (28°C) is the caution level where precautions begin but work continues. Option C (32°C) and D (35°C) exceed safe limits and risk severe heat illness. WBGT takes into account wet-bulb temperature, dry-bulb temperature, and globe temperature. At WBGT &gt;30°C for moderate work (or &gt;28°C for heavy work), employers must implement mandatory work stoppage, increase rest periods, and provide hydration facilities. Heat-related illnesses include heat exhaustion, heat cramps, and heat stroke. This is documented in occupational health management guidelines and Factories Act provisions.</w:t>
      </w:r>
    </w:p>
    <w:p>
      <w:r>
        <w:t xml:space="preserve">Positive Marks: 1</w:t>
      </w:r>
    </w:p>
    <w:p>
      <w:r>
        <w:t xml:space="preserve">Negative Marks: 0.33</w:t>
      </w:r>
    </w:p>
    <w:p/>
    <w:p>
      <w:r>
        <w:rPr>
          <w:b/>
        </w:rPr>
        <w:t xml:space="preserve">Question: Which biological hazard is MOST commonly associated with occupational exposure in healthcare settings and requires specific post-exposure prophylaxis protocols?</w:t>
      </w:r>
    </w:p>
    <w:p>
      <w:r>
        <w:t xml:space="preserve">(a) Fungal spore inhalation from contaminated HVAC systems</w:t>
      </w:r>
    </w:p>
    <w:p>
      <w:r>
        <w:t xml:space="preserve">(b) Bloodborne pathogens including HIV, HBV, and HCV</w:t>
      </w:r>
    </w:p>
    <w:p>
      <w:r>
        <w:t xml:space="preserve">(c) Legionella pneumophila from water sources</w:t>
      </w:r>
    </w:p>
    <w:p>
      <w:r>
        <w:t xml:space="preserve">(d) Mycobacterium tuberculosis through respiratory droplets</w:t>
      </w:r>
    </w:p>
    <w:p>
      <w:r>
        <w:t xml:space="preserve">Answer: b</w:t>
      </w:r>
    </w:p>
    <w:p>
      <w:r>
        <w:t xml:space="preserve">Solution: Bloodborne pathogens (HIV, HBV, HCV) are the most significant biological hazards in healthcare occupational settings with established post-exposure prophylaxis (PEP) protocols, especially for needlestick injuries. Option A (fungal spores) requires environmental control but not PEP. Option C (Legionella) typically causes community outbreaks, not occupational disease in healthcare. Option D (TB) is indeed an occupational hazard but lacks specific pharmacological PEP like bloodborne pathogens do. Healthcare workers face approximately 1 in 300 risk of HIV transmission after needlestick exposure with unknown source. Universal precautions and immediate PEP initiation (within 72 hours) are standard occupational health interventions. This aligns with CDC and WHO guidelines for occupational bloodborne pathogen exposure.</w:t>
      </w:r>
    </w:p>
    <w:p>
      <w:r>
        <w:t xml:space="preserve">Positive Marks: 1</w:t>
      </w:r>
    </w:p>
    <w:p>
      <w:r>
        <w:t xml:space="preserve">Negative Marks: 0.33</w:t>
      </w:r>
    </w:p>
    <w:p/>
    <w:p>
      <w:r>
        <w:rPr>
          <w:b/>
        </w:rPr>
        <w:t xml:space="preserve">Question: A radiography technician working in a diagnostic imaging department for 10 years presents with chronic leukopenia and thrombocytopenia. Which occupational hazard is the PRIMARY concern, and what preventive measure is MOST critical?</w:t>
      </w:r>
    </w:p>
    <w:p>
      <w:r>
        <w:t xml:space="preserve">(a) Thermal radiation causing systemic effects; mandatory thermal protective clothing</w:t>
      </w:r>
    </w:p>
    <w:p>
      <w:r>
        <w:t xml:space="preserve">(b) Ionizing radiation causing cumulative somatic effects; strict adherence to time, distance, and shielding principles</w:t>
      </w:r>
    </w:p>
    <w:p>
      <w:r>
        <w:t xml:space="preserve">(c) Non-ionizing electromagnetic radiation; use of grounding straps and static dissipative footwear</w:t>
      </w:r>
    </w:p>
    <w:p>
      <w:r>
        <w:t xml:space="preserve">(d) Chemical exposure from imaging contrast agents; use of respiratory protective equipment</w:t>
      </w:r>
    </w:p>
    <w:p>
      <w:r>
        <w:t xml:space="preserve">Answer: b</w:t>
      </w:r>
    </w:p>
    <w:p>
      <w:r>
        <w:t xml:space="preserve">Solution: Ionizing radiation causes cumulative dose-dependent somatic effects including bone marrow suppression presenting as leukopenia and thrombocytopenia. The ALARA principle (As Low As Reasonably Achievable) with emphasis on time minimization, distance maximization, and shielding is the evidence-based prevention strategy. Option A (thermal radiation) would cause acute thermal burns, not chronic hematological effects. Option C (non-ionizing EM) doesn't cause the described hematological changes. Option D (chemical contrast) rarely causes hematological toxicity at typical exposure levels. Occupational dose limits are &lt;50 mSv/year for radiation workers per IAEA standards. Lead aprons, distance from source, and limiting fluoroscopy time are protective measures. This is a classic occupational hazard in imaging departments documented in Park's Textbook and INC guidelines.</w:t>
      </w:r>
    </w:p>
    <w:p>
      <w:r>
        <w:t xml:space="preserve">Positive Marks: 1</w:t>
      </w:r>
    </w:p>
    <w:p>
      <w:r>
        <w:t xml:space="preserve">Negative Marks: 0.33</w:t>
      </w:r>
    </w:p>
    <w:p/>
    <w:p>
      <w:r>
        <w:rPr>
          <w:b/>
        </w:rPr>
        <w:t xml:space="preserve">Question: A factory floor supervisor reports frequent conflicts, limited autonomy in decision-making, and fear of job loss due to uncertain contract renewal. According to occupational health frameworks, which category of occupational hazard is this BEST classified as?</w:t>
      </w:r>
    </w:p>
    <w:p>
      <w:r>
        <w:t xml:space="preserve">(a) Physical hazard related to workstation design</w:t>
      </w:r>
    </w:p>
    <w:p>
      <w:r>
        <w:t xml:space="preserve">(b) Chemical hazard from air quality deterioration</w:t>
      </w:r>
    </w:p>
    <w:p>
      <w:r>
        <w:t xml:space="preserve">(c) Psychosocial hazard affecting mental health and wellbeing</w:t>
      </w:r>
    </w:p>
    <w:p>
      <w:r>
        <w:t xml:space="preserve">(d) Biological hazard from microorganism exposure</w:t>
      </w:r>
    </w:p>
    <w:p>
      <w:r>
        <w:t xml:space="preserve">Answer: c</w:t>
      </w:r>
    </w:p>
    <w:p>
      <w:r>
        <w:t xml:space="preserve">Solution: Psychological stressors including job insecurity, lack of control, workplace conflict, and unstable employment represent psychosocial hazards explicitly recognized in modern occupational health frameworks (WHO, ILO). These significantly impact mental health, causing anxiety, depression, and burnout. Option A (physical hazard) involves ergonomic or biomechanical factors. Option B (chemical hazard) involves toxic substance exposure. Option D (biological hazard) involves pathogens or biological agents. Psychosocial hazards are increasingly recognized as significant occupational health concerns with documented cardiovascular, gastrointestinal, and psychiatric complications. The WHO Mental Health and Work initiative emphasizes occupational stress management. This aligns with INC's updated syllabus incorporating psychosocial aspects of occupational health.</w:t>
      </w:r>
    </w:p>
    <w:p>
      <w:r>
        <w:t xml:space="preserve">Positive Marks: 1</w:t>
      </w:r>
    </w:p>
    <w:p>
      <w:r>
        <w:t xml:space="preserve">Negative Marks: 0.33</w:t>
      </w:r>
    </w:p>
    <w:p/>
    <w:p>
      <w:r>
        <w:rPr>
          <w:b/>
        </w:rPr>
        <w:t xml:space="preserve">Question: According to the Factories Act, 1948, what is the MANDATORY requirement regarding occupational health surveillance and medical examinations for workers exposed to occupational hazards?</w:t>
      </w:r>
    </w:p>
    <w:p>
      <w:r>
        <w:t xml:space="preserve">(a) Annual medical examination only at employee's request</w:t>
      </w:r>
    </w:p>
    <w:p>
      <w:r>
        <w:t xml:space="preserve">(b) Periodic medical examination as specified by regulations for exposed workers, with records maintained for 5 years</w:t>
      </w:r>
    </w:p>
    <w:p>
      <w:r>
        <w:t xml:space="preserve">(c) Medical examination only when workplace injury occurs</w:t>
      </w:r>
    </w:p>
    <w:p>
      <w:r>
        <w:t xml:space="preserve">(d) Optional medical surveillance with employer discretion based on hazard severity</w:t>
      </w:r>
    </w:p>
    <w:p>
      <w:r>
        <w:t xml:space="preserve">Answer: b</w:t>
      </w:r>
    </w:p>
    <w:p>
      <w:r>
        <w:t xml:space="preserve">Solution: The Factories Act, 1948 mandates periodic medical examinations for workers exposed to occupational hazards, with detailed medical records maintained for at least 5 years. This is a legal requirement, not optional. Option A (annual examination on request only) underestimates the legal obligation. Option C (examination only after injury) is reactive, not preventive. Option D (optional) contradicts the statutory requirement. Specific hazards (lead, asbestos, silica, noise) have defined examination frequencies and protocols. The Act emphasizes pre-employment, periodic, and exit medical examinations forming the cornerstone of occupational health surveillance in India. This is documented in Section 41D and subsequent amendments of the Factories Act and is a fundamental aspect of Indian occupational health law.</w:t>
      </w:r>
    </w:p>
    <w:p>
      <w:r>
        <w:t xml:space="preserve">Positive Marks: 1</w:t>
      </w:r>
    </w:p>
    <w:p>
      <w:r>
        <w:t xml:space="preserve">Negative Marks: 0.33</w:t>
      </w:r>
    </w:p>
    <w:p/>
    <w:p>
      <w:r>
        <w:rPr>
          <w:b/>
        </w:rPr>
        <w:t xml:space="preserve">Question: A pharmaceutical manufacturing unit is establishing an occupational health registry as per INC and regulatory guidelines. Which information is ESSENTIAL to record in the occupational health registry for each worker?</w:t>
      </w:r>
    </w:p>
    <w:p>
      <w:r>
        <w:t xml:space="preserve">(a) Only current job title and department location</w:t>
      </w:r>
    </w:p>
    <w:p>
      <w:r>
        <w:t xml:space="preserve">(b) Personal identifying information, occupational exposure history, medical findings, and follow-up recommendations</w:t>
      </w:r>
    </w:p>
    <w:p>
      <w:r>
        <w:t xml:space="preserve">(c) Only baseline blood pressure and BMI measurements</w:t>
      </w:r>
    </w:p>
    <w:p>
      <w:r>
        <w:t xml:space="preserve">(d) Attendance records and salary information</w:t>
      </w:r>
    </w:p>
    <w:p>
      <w:r>
        <w:t xml:space="preserve">Answer: b</w:t>
      </w:r>
    </w:p>
    <w:p>
      <w:r>
        <w:t xml:space="preserve">Solution: The occupational health registry must comprehensively document personal identification, detailed exposure history, medical examination findings, diagnoses, and follow-up recommendations for each worker. This enables trend analysis, exposure correlation, and outcome tracking. Option A (only job title) lacks clinical detail. Option C (only vital signs) is incomplete and misses occupational exposure data. Option D (attendance/salary) is irrelevant to occupational health purposes. The registry serves as an epidemiological tool for surveillance, outbreak detection, and regulatory compliance. It must be maintained for at least 5 years post-employment per the Factories Act. INC guidelines emphasize the registry's role in identifying emerging occupational health hazards and implementing preventive measures. This is a legal requirement and best practice in occupational health management.</w:t>
      </w:r>
    </w:p>
    <w:p>
      <w:r>
        <w:t xml:space="preserve">Positive Marks: 1</w:t>
      </w:r>
    </w:p>
    <w:p>
      <w:r>
        <w:t xml:space="preserve">Negative Marks: 0.33</w:t>
      </w:r>
    </w:p>
    <w:p/>
    <w:p>
      <w:r>
        <w:rPr>
          <w:b/>
        </w:rPr>
        <w:t xml:space="preserve">Question: A chemical manufacturing worker exposed to volatile organic compounds (VOCs) asks about the difference between NIOSH recommended exposure limits (RELs) and OSHA permissible exposure limits (PELs). Which statement ACCURATELY describes their relationship?</w:t>
      </w:r>
    </w:p>
    <w:p>
      <w:r>
        <w:t xml:space="preserve">(a) NIOSH RELs and OSHA PELs are identical values with no difference</w:t>
      </w:r>
    </w:p>
    <w:p>
      <w:r>
        <w:t xml:space="preserve">(b) OSHA PELs are typically MORE stringent (lower) than NIOSH RELs</w:t>
      </w:r>
    </w:p>
    <w:p>
      <w:r>
        <w:t xml:space="preserve">(c) NIOSH RELs are generally more stringent (lower) than OSHA PELs and based on newer scientific evidence</w:t>
      </w:r>
    </w:p>
    <w:p>
      <w:r>
        <w:t xml:space="preserve">(d) PELs and RELs differ only for carcinogenic substances, not other hazards</w:t>
      </w:r>
    </w:p>
    <w:p>
      <w:r>
        <w:t xml:space="preserve">Answer: c</w:t>
      </w:r>
    </w:p>
    <w:p>
      <w:r>
        <w:t xml:space="preserve">Solution: NIOSH RELs (Recommended Exposure Limits) are typically MORE protective (lower values) than OSHA PELs (Permissible Exposure Limits) because NIOSH recommendations are based on current scientific evidence and health effects research. OSHA PELs are often older standards influenced by feasibility and cost considerations. Option A is incorrect - they differ significantly. Option B is backward - OSHA PELs are typically less stringent. Option D is incorrect - the difference applies across all hazard categories. Many NIOSH RELs have been recommended for decades with limited OSHA adoption due to regulatory complexities. For example, NIOSH recommends 0.1 ppm for formaldehyde, while OSHA's PEL is 0.75 ppm. This distinction is important for occupational health professionals in advocating for stronger protections. Referenced in Dutta's Textbook of Occupational Health and NIOSH guidelines.</w:t>
      </w:r>
    </w:p>
    <w:p>
      <w:r>
        <w:t xml:space="preserve">Positive Marks: 1</w:t>
      </w:r>
    </w:p>
    <w:p>
      <w:r>
        <w:t xml:space="preserve">Negative Marks: 0.33</w:t>
      </w:r>
    </w:p>
    <w:p/>
    <w:p>
      <w:r>
        <w:rPr>
          <w:b/>
        </w:rPr>
        <w:t xml:space="preserve">Question: A worker in a battery manufacturing plant is exposed to multiple occupational hazards simultaneously including lead dust, noise at 88 dB(A), and heat (29°C WBGT). According to occupational health principles, what is the MOST appropriate management approach?</w:t>
      </w:r>
    </w:p>
    <w:p>
      <w:r>
        <w:t xml:space="preserve">(a) Provide separate PPE for each hazard and rely on worker compliance</w:t>
      </w:r>
    </w:p>
    <w:p>
      <w:r>
        <w:t xml:space="preserve">(b) Conduct a comprehensive risk assessment identifying all hazards, apply hierarchy of controls for each, ensure periodic health surveillance, and maintain exposure records</w:t>
      </w:r>
    </w:p>
    <w:p>
      <w:r>
        <w:t xml:space="preserve">(c) Focus only on the most severe hazard (lead exposure) and ignore other exposures</w:t>
      </w:r>
    </w:p>
    <w:p>
      <w:r>
        <w:t xml:space="preserve">(d) Implement administrative controls such as awareness programs without modifying the work environment</w:t>
      </w:r>
    </w:p>
    <w:p>
      <w:r>
        <w:t xml:space="preserve">Answer: b</w:t>
      </w:r>
    </w:p>
    <w:p>
      <w:r>
        <w:t xml:space="preserve">Solution: Multiple simultaneous occupational hazards require comprehensive risk assessment with integrated control strategies applying the hierarchy of controls to each hazard, coupled with systematic health surveillance and documentation. Option A (PPE only) is inadequate and ignores engineering and administrative controls. Option C (single hazard focus) risks missing synergistic effects and cumulative health impacts. Option D (education alone) without environmental modifications is insufficient. In combined exposures, health effects can be additive or synergistic - for example, noise-induced hearing loss worsens with concurrent lead exposure affecting the auditory system. The Factories Act and INC guidelines mandate comprehensive occupational health management. An integrated approach involves: risk assessment → source control → administrative measures → PPE → surveillance → record-keeping. This systematic approach aligns with WHO occupational health frameworks and best practices in occupational medicine.</w:t>
      </w:r>
    </w:p>
    <w:p>
      <w:r>
        <w:t xml:space="preserve">Positive Marks: 1</w:t>
      </w:r>
    </w:p>
    <w:p>
      <w:r>
        <w:t xml:space="preserve">Negative Marks: 0.33</w:t>
      </w:r>
    </w:p>
    <w:p/>
    <w:p>
      <w:r>
        <w:rPr>
          <w:b/>
        </w:rPr>
        <w:t xml:space="preserve">Question: A worker develops pneumoconiosis after occupational exposure and files a claim under the Employees' Compensation Act (workmen's compensation scheme). Which requirement must be MET for successful compensation claim approval in India?</w:t>
      </w:r>
    </w:p>
    <w:p>
      <w:r>
        <w:t xml:space="preserve">(a) The disease must be listed in Schedule 3 of the Employees' Compensation Act as an occupational disease</w:t>
      </w:r>
    </w:p>
    <w:p>
      <w:r>
        <w:t xml:space="preserve">(b) The worker must prove the disease developed exclusively from occupational exposure with no other contributing factors</w:t>
      </w:r>
    </w:p>
    <w:p>
      <w:r>
        <w:t xml:space="preserve">(c) Compensation is awarded only if the occupational exposure occurred for more than 30 years</w:t>
      </w:r>
    </w:p>
    <w:p>
      <w:r>
        <w:t xml:space="preserve">(d) The employer must voluntarily report the case within 3 months of disease diagnosis</w:t>
      </w:r>
    </w:p>
    <w:p>
      <w:r>
        <w:t xml:space="preserve">Answer: a</w:t>
      </w:r>
    </w:p>
    <w:p>
      <w:r>
        <w:t xml:space="preserve">Solution: The Employees' Compensation Act recognizes only diseases specifically listed in Schedule 3 as occupational diseases eligible for compensation. This schedule includes pneumoconiosis, silicosis, asbestosis, and other recognized occupational diseases. Option B (exclusive causation) is not required - occupational contribution is sufficient even with multiple causative factors. Option C (30-year exposure) is not a legal requirement; recognized occupational diseases have variable latency periods. Option D (employer reporting) is not a prerequisite for claim approval, though it's good practice. The burden of proof typically falls on the worker to establish occupational exposure and disease causation. Diseases not listed in Schedule 3 are not compensable despite occupational relevance. The Employees' State Insurance Act (ESIA) provides similar protections through the ESI scheme. This is foundational to Indian occupational health law and worker protection.</w:t>
      </w:r>
    </w:p>
    <w:p>
      <w:r>
        <w:t xml:space="preserve">Positive Marks: 1</w:t>
      </w:r>
    </w:p>
    <w:p>
      <w:r>
        <w:t xml:space="preserve">Negative Marks: 0.33</w:t>
      </w:r>
    </w:p>
    <w:p/>
    <w:p>
      <w:r>
        <w:rPr>
          <w:b/>
        </w:rPr>
        <w:t xml:space="preserve">Question: An occupational health physician is designing a health surveillance program for workers in a steel manufacturing facility with multiple exposure hazards. According to INC guidelines and international standards, what is the APPROPRIATE FREQUENCY for health surveillance screening in high-risk occupational settings?</w:t>
      </w:r>
    </w:p>
    <w:p>
      <w:r>
        <w:t xml:space="preserve">(a) Annual screening regardless of exposure duration or hazard severity</w:t>
      </w:r>
    </w:p>
    <w:p>
      <w:r>
        <w:t xml:space="preserve">(b) Triennial (every 3 years) screening for all occupational exposures</w:t>
      </w:r>
    </w:p>
    <w:p>
      <w:r>
        <w:t xml:space="preserve">(c) Baseline examination before work commencement, periodic examinations based on hazard-specific protocols (typically 6 months to 2 years), and exit examination upon job cessation</w:t>
      </w:r>
    </w:p>
    <w:p>
      <w:r>
        <w:t xml:space="preserve">(d) Screening only after occupational disease symptoms appear</w:t>
      </w:r>
    </w:p>
    <w:p>
      <w:r>
        <w:t xml:space="preserve">Answer: c</w:t>
      </w:r>
    </w:p>
    <w:p>
      <w:r>
        <w:t xml:space="preserve">Solution: Evidence-based occupational health surveillance requires: (1) baseline pre-employment examination, (2) periodic examinations tailored to specific hazard exposure intervals (high-risk hazards like lead or asbestos require 6-12 month intervals; moderate hazards 1-2 years), and (3) exit examination documenting final health status. Option A (annual regardless) is inefficient for low-risk exposures but insufficient for high-risk. Option B (triennial) is too infrequent for most hazardous exposures and misses early disease detection. Option D (symptomatic screening only) is reactive, defeating occupational health's preventive philosophy. Hazard-specific protocols are detailed in occupational health guidelines: lead exposure requires 6-monthly examinations, noise exposure requires annual audiometry, and asbestos exposure requires baseline and triennial examinations. This risk-stratified approach optimizes resource allocation while ensuring adequate surveillance. INC guidelines and WHO recommendations support this tiered surveillance framework.</w:t>
      </w:r>
    </w:p>
    <w:p>
      <w:r>
        <w:t xml:space="preserve">Positive Marks: 1</w:t>
      </w:r>
    </w:p>
    <w:p>
      <w:r>
        <w:t xml:space="preserve">Negative Marks: 0.33</w:t>
      </w:r>
    </w:p>
    <w:sectPr>
      <w:pgSz w:w="11906" w:h="16838"/>
      <w:pgMar w:top="1134" w:right="1134" w:bottom="1134" w:left="1134"/>
    </w:sectPr>
  </w:body>
</w:document>
</file>