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national programme aims to address nutritional deficiencies in children aged 6 months to 6 years and pregnant and lactating women?</w:t>
      </w:r>
    </w:p>
    <w:p>
      <w:r>
        <w:t xml:space="preserve">(a) Integrated Child Development Services (ICDS)</w:t>
      </w:r>
    </w:p>
    <w:p>
      <w:r>
        <w:t xml:space="preserve">(b) Mid Day Meal Scheme (MDMS)</w:t>
      </w:r>
    </w:p>
    <w:p>
      <w:r>
        <w:t xml:space="preserve">(c) Public Distribution System (PDS)</w:t>
      </w:r>
    </w:p>
    <w:p>
      <w:r>
        <w:t xml:space="preserve">(d) Suposhan Abhiyaan</w:t>
      </w:r>
    </w:p>
    <w:p>
      <w:r>
        <w:t xml:space="preserve">Answer: a</w:t>
      </w:r>
    </w:p>
    <w:p>
      <w:r>
        <w:t xml:space="preserve">Solution: ICDS is the primary nutrition programme targeting young children and mothers through Anganwadi centres with supplementary nutrition and health services. MDMS focuses on school-aged children; PDS is for general food security; Suposhan Abhiyaan is a newer convergence programme. ICDS remains the largest integrated nutrition intervention at grassroots level since 1975.</w:t>
      </w:r>
    </w:p>
    <w:p>
      <w:r>
        <w:t xml:space="preserve">Positive Marks: 1</w:t>
      </w:r>
    </w:p>
    <w:p>
      <w:r>
        <w:t xml:space="preserve">Negative Marks: 0.33</w:t>
      </w:r>
    </w:p>
    <w:p/>
    <w:p>
      <w:r>
        <w:rPr>
          <w:b/>
        </w:rPr>
        <w:t xml:space="preserve">Question: What is the primary objective of the Mid Day Meal Scheme (MDMS)?</w:t>
      </w:r>
    </w:p>
    <w:p>
      <w:r>
        <w:t xml:space="preserve">(a) To improve school attendance and nutritional status of school children</w:t>
      </w:r>
    </w:p>
    <w:p>
      <w:r>
        <w:t xml:space="preserve">(b) To provide employment to rural women only</w:t>
      </w:r>
    </w:p>
    <w:p>
      <w:r>
        <w:t xml:space="preserve">(c) To distribute fortified wheat exclusively</w:t>
      </w:r>
    </w:p>
    <w:p>
      <w:r>
        <w:t xml:space="preserve">(d) To eliminate protein-energy malnutrition in infants below 2 years</w:t>
      </w:r>
    </w:p>
    <w:p>
      <w:r>
        <w:t xml:space="preserve">Answer: a</w:t>
      </w:r>
    </w:p>
    <w:p>
      <w:r>
        <w:t xml:space="preserve">Solution: MDMS aims to improve school attendance, reduce dropout rates, and enhance nutritional status of enrolled children. It is not specifically for employment generation (though ancillary benefit), doesn't exclusively use fortified wheat, and targets school-age children (5-18 years), not infants. The scheme has dual benefit of child nutrition and improved school participation rates.</w:t>
      </w:r>
    </w:p>
    <w:p>
      <w:r>
        <w:t xml:space="preserve">Positive Marks: 1</w:t>
      </w:r>
    </w:p>
    <w:p>
      <w:r>
        <w:t xml:space="preserve">Negative Marks: 0.33</w:t>
      </w:r>
    </w:p>
    <w:p/>
    <w:p>
      <w:r>
        <w:rPr>
          <w:b/>
        </w:rPr>
        <w:t xml:space="preserve">Question: Under the POSHAN Abhiyaan (Nutrition Mission), what is the target age group for intensive intervention?</w:t>
      </w:r>
    </w:p>
    <w:p>
      <w:r>
        <w:t xml:space="preserve">(a) 0-6 years and pregnant/lactating women</w:t>
      </w:r>
    </w:p>
    <w:p>
      <w:r>
        <w:t xml:space="preserve">(b) 0-10 years only</w:t>
      </w:r>
    </w:p>
    <w:p>
      <w:r>
        <w:t xml:space="preserve">(c) 6 months to 14 years</w:t>
      </w:r>
    </w:p>
    <w:p>
      <w:r>
        <w:t xml:space="preserve">(d) 1-5 years exclusively</w:t>
      </w:r>
    </w:p>
    <w:p>
      <w:r>
        <w:t xml:space="preserve">Answer: a</w:t>
      </w:r>
    </w:p>
    <w:p>
      <w:r>
        <w:t xml:space="preserve">Solution: POSHAN Abhiyaan (2018) targets children aged 0-6 years and pregnant and lactating women as the most vulnerable nutrition window. The 1000-day window (conception to 2 years) is critical for brain development and preventing stunting. Other age groups, while important, are secondary focus areas with less intensive intervention under this mission.</w:t>
      </w:r>
    </w:p>
    <w:p>
      <w:r>
        <w:t xml:space="preserve">Positive Marks: 1</w:t>
      </w:r>
    </w:p>
    <w:p>
      <w:r>
        <w:t xml:space="preserve">Negative Marks: 0.33</w:t>
      </w:r>
    </w:p>
    <w:p/>
    <w:p>
      <w:r>
        <w:rPr>
          <w:b/>
        </w:rPr>
        <w:t xml:space="preserve">Question: Which fortification programme was launched to address micronutrient deficiencies in the general population through staple foods?</w:t>
      </w:r>
    </w:p>
    <w:p>
      <w:r>
        <w:t xml:space="preserve">(a) Food Fortification Initiative (FFI) and National Food Security Act</w:t>
      </w:r>
    </w:p>
    <w:p>
      <w:r>
        <w:t xml:space="preserve">(b) Mid Day Meal Scheme only</w:t>
      </w:r>
    </w:p>
    <w:p>
      <w:r>
        <w:t xml:space="preserve">(c) Integrated Nutrition and Supplementary Nutrition</w:t>
      </w:r>
    </w:p>
    <w:p>
      <w:r>
        <w:t xml:space="preserve">(d) Direct Benefit Transfer (DBT) for nutrition</w:t>
      </w:r>
    </w:p>
    <w:p>
      <w:r>
        <w:t xml:space="preserve">Answer: a</w:t>
      </w:r>
    </w:p>
    <w:p>
      <w:r>
        <w:t xml:space="preserve">Solution: Food fortification through staple foods (rice, wheat, salt, oil) is a key component of National Nutrition Mission to address micronutrient deficiencies. The NFSA (2013) mandates fortified food in PDS and MDM. MDMS is implementation level; SNP is supplementary not fortification; DBT is cash transfer without nutrition-specific focus on fortification.</w:t>
      </w:r>
    </w:p>
    <w:p>
      <w:r>
        <w:t xml:space="preserve">Positive Marks: 1</w:t>
      </w:r>
    </w:p>
    <w:p>
      <w:r>
        <w:t xml:space="preserve">Negative Marks: 0.33</w:t>
      </w:r>
    </w:p>
    <w:p/>
    <w:p>
      <w:r>
        <w:rPr>
          <w:b/>
        </w:rPr>
        <w:t xml:space="preserve">Question: What is the recommended minimum caloric content of supplementary nutrition provided through Anganwadi centers for children aged 1-6 years?</w:t>
      </w:r>
    </w:p>
    <w:p>
      <w:r>
        <w:t xml:space="preserve">(a) 450-500 kcal per day</w:t>
      </w:r>
    </w:p>
    <w:p>
      <w:r>
        <w:t xml:space="preserve">(b) 200-250 kcal per day</w:t>
      </w:r>
    </w:p>
    <w:p>
      <w:r>
        <w:t xml:space="preserve">(c) 600-700 kcal per day</w:t>
      </w:r>
    </w:p>
    <w:p>
      <w:r>
        <w:t xml:space="preserve">(d) 300-350 kcal per day</w:t>
      </w:r>
    </w:p>
    <w:p>
      <w:r>
        <w:t xml:space="preserve">Answer: a</w:t>
      </w:r>
    </w:p>
    <w:p>
      <w:r>
        <w:t xml:space="preserve">Solution: ICDS guidelines prescribe 450-500 kcal and 12 grams of protein daily as supplementary nutrition for children 1-6 years. This bridges the gap between RDA and average household intake. 200-250 kcal is inadequate; 600-700 kcal is excessive for supplementary (not full meal) nutrition; 300-350 kcal is below recommended standards.</w:t>
      </w:r>
    </w:p>
    <w:p>
      <w:r>
        <w:t xml:space="preserve">Positive Marks: 1</w:t>
      </w:r>
    </w:p>
    <w:p>
      <w:r>
        <w:t xml:space="preserve">Negative Marks: 0.33</w:t>
      </w:r>
    </w:p>
    <w:p/>
    <w:p>
      <w:r>
        <w:rPr>
          <w:b/>
        </w:rPr>
        <w:t xml:space="preserve">Question: Under the Public Distribution System (PDS), what percentage of population is covered under Targeted PDS in Below Poverty Line (BPL) households?</w:t>
      </w:r>
    </w:p>
    <w:p>
      <w:r>
        <w:t xml:space="preserve">(a) 2 kg rice/wheat per person per month to BPL families</w:t>
      </w:r>
    </w:p>
    <w:p>
      <w:r>
        <w:t xml:space="preserve">(b) 1 kg per person monthly</w:t>
      </w:r>
    </w:p>
    <w:p>
      <w:r>
        <w:t xml:space="preserve">(c) 5 kg per person monthly</w:t>
      </w:r>
    </w:p>
    <w:p>
      <w:r>
        <w:t xml:space="preserve">(d) Variable based on state policies only</w:t>
      </w:r>
    </w:p>
    <w:p>
      <w:r>
        <w:t xml:space="preserve">Answer: a</w:t>
      </w:r>
    </w:p>
    <w:p>
      <w:r>
        <w:t xml:space="preserve">Solution: Targeted PDS provides 2 kg of foodgrains per person per month to BPL families at subsidized rates. This is a standard national norm across most states under NFSA. 1 kg is insufficient for household nutrition; 5 kg is the APL allocation; state variation exists but 2 kg is the guaranteed minimum for BPL beneficiaries.</w:t>
      </w:r>
    </w:p>
    <w:p>
      <w:r>
        <w:t xml:space="preserve">Positive Marks: 1</w:t>
      </w:r>
    </w:p>
    <w:p>
      <w:r>
        <w:t xml:space="preserve">Negative Marks: 0.33</w:t>
      </w:r>
    </w:p>
    <w:p/>
    <w:p>
      <w:r>
        <w:rPr>
          <w:b/>
        </w:rPr>
        <w:t xml:space="preserve">Question: Which indicator is used to measure the effectiveness of nutrition rehabilitation centers (NRCs) in managing Severe Acute Malnutrition (SAM)?</w:t>
      </w:r>
    </w:p>
    <w:p>
      <w:r>
        <w:t xml:space="preserve">(a) Recovery rate &gt;75%, Cure rate &gt;85%, Death rate &lt;1%</w:t>
      </w:r>
    </w:p>
    <w:p>
      <w:r>
        <w:t xml:space="preserve">(b) Recovery rate &gt;50%, any death rate acceptable</w:t>
      </w:r>
    </w:p>
    <w:p>
      <w:r>
        <w:t xml:space="preserve">(c) Cure rate &gt;60%, with higher mortality acceptable in difficult cases</w:t>
      </w:r>
    </w:p>
    <w:p>
      <w:r>
        <w:t xml:space="preserve">(d) Recovery rate &gt;95% with zero mortality</w:t>
      </w:r>
    </w:p>
    <w:p>
      <w:r>
        <w:t xml:space="preserve">Answer: a</w:t>
      </w:r>
    </w:p>
    <w:p>
      <w:r>
        <w:t xml:space="preserve">Solution: SPHERE standards and Ministry of Health guidelines define NRC success as recovery rate &gt;75%, cure rate &gt;85%, and death rate &lt;1%. These are achievable, evidence-based benchmarks for inpatient SAM management. 50% recovery is inadequate; 60% is suboptimal; zero mortality is unrealistic given comorbidities and complications of severe malnutrition requiring clinical judgment.</w:t>
      </w:r>
    </w:p>
    <w:p>
      <w:r>
        <w:t xml:space="preserve">Positive Marks: 1</w:t>
      </w:r>
    </w:p>
    <w:p>
      <w:r>
        <w:t xml:space="preserve">Negative Marks: 0.33</w:t>
      </w:r>
    </w:p>
    <w:p/>
    <w:p>
      <w:r>
        <w:rPr>
          <w:b/>
        </w:rPr>
        <w:t xml:space="preserve">Question: What is the primary micronutrient deficiency addressed by the fortification of salt with iron and iodine?</w:t>
      </w:r>
    </w:p>
    <w:p>
      <w:r>
        <w:t xml:space="preserve">(a) Iron deficiency anemia and Iodine deficiency disorder</w:t>
      </w:r>
    </w:p>
    <w:p>
      <w:r>
        <w:t xml:space="preserve">(b) Vitamin D deficiency only</w:t>
      </w:r>
    </w:p>
    <w:p>
      <w:r>
        <w:t xml:space="preserve">(c) Calcium deficiency exclusively</w:t>
      </w:r>
    </w:p>
    <w:p>
      <w:r>
        <w:t xml:space="preserve">(d) Zinc deficiency prevention</w:t>
      </w:r>
    </w:p>
    <w:p>
      <w:r>
        <w:t xml:space="preserve">Answer: a</w:t>
      </w:r>
    </w:p>
    <w:p>
      <w:r>
        <w:t xml:space="preserve">Solution: Double-fortified salt (DFS) contains both iodine and iron to address the two most common micronutrient deficiencies in India - IDA and IDD. This dual approach maximizes coverage through a widely consumed vehicle. Vitamin D fortification primarily uses oil/milk; calcium is addressed through food diversity; zinc fortification is limited and separate.</w:t>
      </w:r>
    </w:p>
    <w:p>
      <w:r>
        <w:t xml:space="preserve">Positive Marks: 1</w:t>
      </w:r>
    </w:p>
    <w:p>
      <w:r>
        <w:t xml:space="preserve">Negative Marks: 0.33</w:t>
      </w:r>
    </w:p>
    <w:p/>
    <w:p>
      <w:r>
        <w:rPr>
          <w:b/>
        </w:rPr>
        <w:t xml:space="preserve">Question: Under ICDS, what is the recommended minimum frequency of health check-ups and monitoring for children attending Anganwadi centers?</w:t>
      </w:r>
    </w:p>
    <w:p>
      <w:r>
        <w:t xml:space="preserve">(a) Monthly anthropometric measurements and quarterly health assessments</w:t>
      </w:r>
    </w:p>
    <w:p>
      <w:r>
        <w:t xml:space="preserve">(b) Annual check-ups only</w:t>
      </w:r>
    </w:p>
    <w:p>
      <w:r>
        <w:t xml:space="preserve">(c) Bi-annual monitoring sufficient</w:t>
      </w:r>
    </w:p>
    <w:p>
      <w:r>
        <w:t xml:space="preserve">(d) On-demand visits with no fixed schedule</w:t>
      </w:r>
    </w:p>
    <w:p>
      <w:r>
        <w:t xml:space="preserve">Answer: a</w:t>
      </w:r>
    </w:p>
    <w:p>
      <w:r>
        <w:t xml:space="preserve">Solution: ICDS norms mandate monthly weight monitoring (growth tracking) and quarterly comprehensive health assessments including immunization status review. Monthly frequency allows early detection of faltering growth and nutritional decline. Annual monitoring misses critical windows for intervention; bi-annual is insufficient for growth velocity assessment; on-demand is reactive, not preventive.</w:t>
      </w:r>
    </w:p>
    <w:p>
      <w:r>
        <w:t xml:space="preserve">Positive Marks: 1</w:t>
      </w:r>
    </w:p>
    <w:p>
      <w:r>
        <w:t xml:space="preserve">Negative Marks: 0.33</w:t>
      </w:r>
    </w:p>
    <w:p/>
    <w:p>
      <w:r>
        <w:rPr>
          <w:b/>
        </w:rPr>
        <w:t xml:space="preserve">Question: Which national programme specifically focuses on addressing malnutrition in adolescent girls through provision of iron-folic acid (IFA) supplementation?</w:t>
      </w:r>
    </w:p>
    <w:p>
      <w:r>
        <w:t xml:space="preserve">(a) Scheme for Adolescent Girls (SAG) under ICDS with bi-weekly IFA supplementation</w:t>
      </w:r>
    </w:p>
    <w:p>
      <w:r>
        <w:t xml:space="preserve">(b) Mid Day Meal Scheme alone</w:t>
      </w:r>
    </w:p>
    <w:p>
      <w:r>
        <w:t xml:space="preserve">(c) POSHAN Abhiyaan for all ages equally</w:t>
      </w:r>
    </w:p>
    <w:p>
      <w:r>
        <w:t xml:space="preserve">(d) National Nutrition Mission without age-specific focus</w:t>
      </w:r>
    </w:p>
    <w:p>
      <w:r>
        <w:t xml:space="preserve">Answer: a</w:t>
      </w:r>
    </w:p>
    <w:p>
      <w:r>
        <w:t xml:space="preserve">Solution: SAG (now Pradhan Mantri Matru Vandana Yojana component) specifically targets girls 11-18 years with bi-weekly IFA supplementation and nutrition education through schools/Anganwadi. This addresses high prevalence of anemia and malnutrition in adolescent girls affecting reproductive health. MDMS includes girls but doesn't specifically address IFA; POSHAN is broader; NNM encompasses multiple programs.</w:t>
      </w:r>
    </w:p>
    <w:p>
      <w:r>
        <w:t xml:space="preserve">Positive Marks: 1</w:t>
      </w:r>
    </w:p>
    <w:p>
      <w:r>
        <w:t xml:space="preserve">Negative Marks: 0.33</w:t>
      </w:r>
    </w:p>
    <w:p/>
    <w:p>
      <w:r>
        <w:rPr>
          <w:b/>
        </w:rPr>
        <w:t xml:space="preserve">Question: What is the primary rationale for focusing national nutrition programmes on the 1000-day window (conception to 2 years)?</w:t>
      </w:r>
    </w:p>
    <w:p>
      <w:r>
        <w:t xml:space="preserve">(a) This period determines lifelong cognitive development, immunity, and prevention of chronic diseases with 70% brain growth occurring</w:t>
      </w:r>
    </w:p>
    <w:p>
      <w:r>
        <w:t xml:space="preserve">(b) Nutrition interventions are only effective after age 2 years</w:t>
      </w:r>
    </w:p>
    <w:p>
      <w:r>
        <w:t xml:space="preserve">(c) The period is irrelevant to long-term health outcomes</w:t>
      </w:r>
    </w:p>
    <w:p>
      <w:r>
        <w:t xml:space="preserve">(d) All life stages have equal nutritional sensitivity</w:t>
      </w:r>
    </w:p>
    <w:p>
      <w:r>
        <w:t xml:space="preserve">Answer: a</w:t>
      </w:r>
    </w:p>
    <w:p>
      <w:r>
        <w:t xml:space="preserve">Solution: The 1000-day window is the critical window for brain development (70% by age 3), immune system maturation, and epigenetic programming affecting lifelong health. Early intervention prevents stunting, improves cognitive function, reduces infectious disease burden, and decreases risk of non-communicable diseases. Nutrition at birth-2 years has highest return on investment. Post-2 years interventions are valuable but less transformative.</w:t>
      </w:r>
    </w:p>
    <w:p>
      <w:r>
        <w:t xml:space="preserve">Positive Marks: 1</w:t>
      </w:r>
    </w:p>
    <w:p>
      <w:r>
        <w:t xml:space="preserve">Negative Marks: 0.33</w:t>
      </w:r>
    </w:p>
    <w:p/>
    <w:p>
      <w:r>
        <w:rPr>
          <w:b/>
        </w:rPr>
        <w:t xml:space="preserve">Question: In the context of National Health Programmes, which organization at district level coordinates implementation of nutrition programmes including ICDS, PDS, and MDMS?</w:t>
      </w:r>
    </w:p>
    <w:p>
      <w:r>
        <w:t xml:space="preserve">(a) District Nutrition Committee with representation from health, education, ICDS, and food civil supplies departments</w:t>
      </w:r>
    </w:p>
    <w:p>
      <w:r>
        <w:t xml:space="preserve">(b) Medical Officer alone</w:t>
      </w:r>
    </w:p>
    <w:p>
      <w:r>
        <w:t xml:space="preserve">(c) Anganwadi worker exclusively</w:t>
      </w:r>
    </w:p>
    <w:p>
      <w:r>
        <w:t xml:space="preserve">(d) School Principal independently</w:t>
      </w:r>
    </w:p>
    <w:p>
      <w:r>
        <w:t xml:space="preserve">Answer: a</w:t>
      </w:r>
    </w:p>
    <w:p>
      <w:r>
        <w:t xml:space="preserve">Solution: Multi-sectoral coordination through District Nutrition Committee ensures integrated approach to nutrition programmes. This committee includes health, education, social welfare, agriculture, and food departments for convergence. Single authority (MO, worker, principal) lacks coordination capacity; nutrition requires multi-sectoral effort. DNC ensures monitoring and reduces gaps between different programs.</w:t>
      </w:r>
    </w:p>
    <w:p>
      <w:r>
        <w:t xml:space="preserve">Positive Marks: 1</w:t>
      </w:r>
    </w:p>
    <w:p>
      <w:r>
        <w:t xml:space="preserve">Negative Marks: 0.33</w:t>
      </w:r>
    </w:p>
    <w:p/>
    <w:p>
      <w:r>
        <w:rPr>
          <w:b/>
        </w:rPr>
        <w:t xml:space="preserve">Question: What is the key difference between Suposhan Abhiyaan and POSHAN Abhiyaan in terms of target groups and intervention approach?</w:t>
      </w:r>
    </w:p>
    <w:p>
      <w:r>
        <w:t xml:space="preserve">(a) Suposhan targets anganwadi-based children; POSHAN has convergent approach with school health, nutrition, WASH, and behavior change</w:t>
      </w:r>
    </w:p>
    <w:p>
      <w:r>
        <w:t xml:space="preserve">(b) Both are identical programs with different names</w:t>
      </w:r>
    </w:p>
    <w:p>
      <w:r>
        <w:t xml:space="preserve">(c) Suposhan only uses supplementary nutrition; POSHAN only uses fortification</w:t>
      </w:r>
    </w:p>
    <w:p>
      <w:r>
        <w:t xml:space="preserve">(d) POSHAN is only for rural areas; Suposhan covers urban</w:t>
      </w:r>
    </w:p>
    <w:p>
      <w:r>
        <w:t xml:space="preserve">Answer: a</w:t>
      </w:r>
    </w:p>
    <w:p>
      <w:r>
        <w:t xml:space="preserve">Solution: Suposhan (2017-2018) focused on supplementary nutrition in anganwadi centers. POSHAN Abhiyaan (2018 onwards) is a comprehensive convergent program integrating nutrition, health (immunization, WASH), education (school programs), and behavior change communication. POSHAN represents evolution toward multi-sectoral approach rather than nutrition in isolation. Both complement each other in national nutrition strategy.</w:t>
      </w:r>
    </w:p>
    <w:p>
      <w:r>
        <w:t xml:space="preserve">Positive Marks: 1</w:t>
      </w:r>
    </w:p>
    <w:p>
      <w:r>
        <w:t xml:space="preserve">Negative Marks: 0.33</w:t>
      </w:r>
    </w:p>
    <w:p/>
    <w:p>
      <w:r>
        <w:rPr>
          <w:b/>
        </w:rPr>
        <w:t xml:space="preserve">Question: Which nutritional assessment tool is primarily recommended for screening protein-energy malnutrition in community settings under national programmes?</w:t>
      </w:r>
    </w:p>
    <w:p>
      <w:r>
        <w:t xml:space="preserve">(a) Mid-Upper Arm Circumference (MUAC) due to ease of use and high correlation with body mass</w:t>
      </w:r>
    </w:p>
    <w:p>
      <w:r>
        <w:t xml:space="preserve">(b) Bioelectrical impedance analysis</w:t>
      </w:r>
    </w:p>
    <w:p>
      <w:r>
        <w:t xml:space="preserve">(c) DEXA scan exclusively</w:t>
      </w:r>
    </w:p>
    <w:p>
      <w:r>
        <w:t xml:space="preserve">(d) Skinfold thickness measurements only</w:t>
      </w:r>
    </w:p>
    <w:p>
      <w:r>
        <w:t xml:space="preserve">Answer: a</w:t>
      </w:r>
    </w:p>
    <w:p>
      <w:r>
        <w:t xml:space="preserve">Solution: MUAC (measuring at mid-point between elbow and shoulder) is the gold standard for community nutrition screening as it is quick, non-invasive, requires minimal training, and strongly correlates with body mass and protein reserves. Cutoff &lt;115mm indicates acute malnutrition. BIA requires equipment and expertise; DEXA is expensive and impractical; skinfold needs training and equipment. MUAC is ideal for Anganwadi workers.</w:t>
      </w:r>
    </w:p>
    <w:p>
      <w:r>
        <w:t xml:space="preserve">Positive Marks: 1</w:t>
      </w:r>
    </w:p>
    <w:p>
      <w:r>
        <w:t xml:space="preserve">Negative Marks: 0.33</w:t>
      </w:r>
    </w:p>
    <w:p/>
    <w:p>
      <w:r>
        <w:rPr>
          <w:b/>
        </w:rPr>
        <w:t xml:space="preserve">Question: Under the supplementary nutrition programme through ICDS, which food items form the staple component provided to children with optimal micronutrient density?</w:t>
      </w:r>
    </w:p>
    <w:p>
      <w:r>
        <w:t xml:space="preserve">(a) Fortified cereals (wheat/rice), pulses (legumes), local vegetables, and eggs/fortified products for protein and micronutrients</w:t>
      </w:r>
    </w:p>
    <w:p>
      <w:r>
        <w:t xml:space="preserve">(b) Only white rice with salt</w:t>
      </w:r>
    </w:p>
    <w:p>
      <w:r>
        <w:t xml:space="preserve">(c) Exclusively packaged commercial products</w:t>
      </w:r>
    </w:p>
    <w:p>
      <w:r>
        <w:t xml:space="preserve">(d) Raw grains without processing</w:t>
      </w:r>
    </w:p>
    <w:p>
      <w:r>
        <w:t xml:space="preserve">Answer: a</w:t>
      </w:r>
    </w:p>
    <w:p>
      <w:r>
        <w:t xml:space="preserve">Solution: Recommended supplementary nutrition includes fortified cereals + pulses (complementary proteins), seasonal local vegetables (micronutrients), and animal protein source (eggs, fortified products). This combination addresses PEM and micronutrient deficiencies cost-effectively using locally available foods. White rice lacks micronutrients; commercial products are expensive; raw grains require preparation and have lower bioavailability.</w:t>
      </w:r>
    </w:p>
    <w:p>
      <w:r>
        <w:t xml:space="preserve">Positive Marks: 1</w:t>
      </w:r>
    </w:p>
    <w:p>
      <w:r>
        <w:t xml:space="preserve">Negative Marks: 0.33</w:t>
      </w:r>
    </w:p>
    <w:p/>
    <w:p>
      <w:r>
        <w:rPr>
          <w:b/>
        </w:rPr>
        <w:t xml:space="preserve">Question: What is the recommended dietary diversity score (RDDS) threshold that indicates minimum acceptable dietary diversity for child nutrition assessment under national programmes?</w:t>
      </w:r>
    </w:p>
    <w:p>
      <w:r>
        <w:t xml:space="preserve">(a) Minimum 4 food groups from 7 major groups (cereals, legumes, vegetables, fruits, animal protein, oil, milk) indicating balanced diet</w:t>
      </w:r>
    </w:p>
    <w:p>
      <w:r>
        <w:t xml:space="preserve">(b) 1-2 food groups sufficient</w:t>
      </w:r>
    </w:p>
    <w:p>
      <w:r>
        <w:t xml:space="preserve">(c) Only protein intake matters, food diversity irrelevant</w:t>
      </w:r>
    </w:p>
    <w:p>
      <w:r>
        <w:t xml:space="preserve">(d) 8-9 food groups mandatory daily</w:t>
      </w:r>
    </w:p>
    <w:p>
      <w:r>
        <w:t xml:space="preserve">Answer: a</w:t>
      </w:r>
    </w:p>
    <w:p>
      <w:r>
        <w:t xml:space="preserve">Solution: Dietary diversity of ≥4 food groups from 7 major categories indicates minimum acceptable diet quality associated with better nutritional status in children. This WHO indicator correlates with micronutrient adequacy and cognitive development. 1-2 groups indicates poor diversity with micronutrient gaps; food diversity is crucial for micronutrient intake; 8-9 daily groups is unrealistic in resource-limited settings; 4 is evidence-based minimum.</w:t>
      </w:r>
    </w:p>
    <w:p>
      <w:r>
        <w:t xml:space="preserve">Positive Marks: 1</w:t>
      </w:r>
    </w:p>
    <w:p>
      <w:r>
        <w:t xml:space="preserve">Negative Marks: 0.33</w:t>
      </w:r>
    </w:p>
    <w:p/>
    <w:p>
      <w:r>
        <w:rPr>
          <w:b/>
        </w:rPr>
        <w:t xml:space="preserve">Question: Which key performance indicator (KPI) is monitored to evaluate the success of national nutrition programmes in reducing childhood stunting?</w:t>
      </w:r>
    </w:p>
    <w:p>
      <w:r>
        <w:t xml:space="preserve">(a) Reduction in prevalence of stunting (height-for-age &lt;-2SD) below 30% with annual monitoring through NFHS and nutrition surveys</w:t>
      </w:r>
    </w:p>
    <w:p>
      <w:r>
        <w:t xml:space="preserve">(b) Weight gain alone is sufficient</w:t>
      </w:r>
    </w:p>
    <w:p>
      <w:r>
        <w:t xml:space="preserve">(c) Only micronutrient status markers</w:t>
      </w:r>
    </w:p>
    <w:p>
      <w:r>
        <w:t xml:space="preserve">(d) Stunting is not preventable through nutrition</w:t>
      </w:r>
    </w:p>
    <w:p>
      <w:r>
        <w:t xml:space="preserve">Answer: a</w:t>
      </w:r>
    </w:p>
    <w:p>
      <w:r>
        <w:t xml:space="preserve">Solution: Stunting reduction is the primary outcome indicator for nutrition programme effectiveness as it reflects chronic malnutrition and long-term developmental impact. Target is &lt;30% prevalence (from baseline 38.4% in 2015). Height measurement captures cumulative nutritional history. Weight alone misses stunting; micronutrients alone don't prevent; stunting is highly preventable through comprehensive nutrition intervention during critical window.</w:t>
      </w:r>
    </w:p>
    <w:p>
      <w:r>
        <w:t xml:space="preserve">Positive Marks: 1</w:t>
      </w:r>
    </w:p>
    <w:p>
      <w:r>
        <w:t xml:space="preserve">Negative Marks: 0.33</w:t>
      </w:r>
    </w:p>
    <w:p/>
    <w:p>
      <w:r>
        <w:rPr>
          <w:b/>
        </w:rPr>
        <w:t xml:space="preserve">Question: Under the National Nutrition Mission, what is the role of behavior change communication (BCC) in improving household nutrition practices?</w:t>
      </w:r>
    </w:p>
    <w:p>
      <w:r>
        <w:t xml:space="preserve">(a) BCC promotes optimal IYCF practices (exclusive breastfeeding, timely complementary feeding, dietary diversity) through community mobilization and interpersonal communication</w:t>
      </w:r>
    </w:p>
    <w:p>
      <w:r>
        <w:t xml:space="preserve">(b) BCC only provides information without implementation support</w:t>
      </w:r>
    </w:p>
    <w:p>
      <w:r>
        <w:t xml:space="preserve">(c) Behavior change is not possible in nutrition programs</w:t>
      </w:r>
    </w:p>
    <w:p>
      <w:r>
        <w:t xml:space="preserve">(d) BCC is used only for fortified food promotion</w:t>
      </w:r>
    </w:p>
    <w:p>
      <w:r>
        <w:t xml:space="preserve">Answer: a</w:t>
      </w:r>
    </w:p>
    <w:p>
      <w:r>
        <w:t xml:space="preserve">Solution: BCC is foundational to nutrition program success, addressing knowledge-attitude-practice gaps through community mobilization, ASHA engagement, counseling, and group education on IYCF, dietary diversity, hygiene, and food fortification. Evidence shows 60% of malnutrition is behavioral/food-related, not just access. Information alone without facilitation is ineffective; behavior change is demonstrable and measured; BCC extends beyond fortification to comprehensive dietary practices.</w:t>
      </w:r>
    </w:p>
    <w:p>
      <w:r>
        <w:t xml:space="preserve">Positive Marks: 1</w:t>
      </w:r>
    </w:p>
    <w:p>
      <w:r>
        <w:t xml:space="preserve">Negative Marks: 0.33</w:t>
      </w:r>
    </w:p>
    <w:p/>
    <w:p>
      <w:r>
        <w:rPr>
          <w:b/>
        </w:rPr>
        <w:t xml:space="preserve">Question: Which standard is used to classify Severe Acute Malnutrition (SAM) in children 6-59 months under national nutrition rehabilitation protocols?</w:t>
      </w:r>
    </w:p>
    <w:p>
      <w:r>
        <w:t xml:space="preserve">(a) MUAC &lt;115mm or WHZ &lt;-3SD or bilateral pitting edema; requires hospitalization or intensive outpatient management</w:t>
      </w:r>
    </w:p>
    <w:p>
      <w:r>
        <w:t xml:space="preserve">(b) MUAC &lt;120mm is adequate for classification</w:t>
      </w:r>
    </w:p>
    <w:p>
      <w:r>
        <w:t xml:space="preserve">(c) Weight alone determines SAM status</w:t>
      </w:r>
    </w:p>
    <w:p>
      <w:r>
        <w:t xml:space="preserve">(d) All children with weight loss have SAM</w:t>
      </w:r>
    </w:p>
    <w:p>
      <w:r>
        <w:t xml:space="preserve">Answer: a</w:t>
      </w:r>
    </w:p>
    <w:p>
      <w:r>
        <w:t xml:space="preserve">Solution: SAM in children 6-59 months is defined as MUAC &lt;115mm, Weight-for-Height z-score &lt;-3SD, or bilateral pitting edema. These children require intensive management (NRC admission or OTP depending on appetite and comorbidities). MUAC &lt;120mm is moderate acute malnutrition (MAM); weight alone ignores height; all weight loss isn't SAM (some is MAM). Early identification using MUAC enables timely intervention preventing mortality.</w:t>
      </w:r>
    </w:p>
    <w:p>
      <w:r>
        <w:t xml:space="preserve">Positive Marks: 1</w:t>
      </w:r>
    </w:p>
    <w:p>
      <w:r>
        <w:t xml:space="preserve">Negative Marks: 0.33</w:t>
      </w:r>
    </w:p>
    <w:p/>
    <w:p>
      <w:r>
        <w:rPr>
          <w:b/>
        </w:rPr>
        <w:t xml:space="preserve">Question: The POSHAN Abhiyaan (National Nutrition Mission) in India specifically targets the reduction of which nutritional deficiencies as its PRIMARY focus among children under 6 years?</w:t>
      </w:r>
    </w:p>
    <w:p>
      <w:r>
        <w:t xml:space="preserve">(a) Protein-energy malnutrition, stunting, and wasting in children</w:t>
      </w:r>
    </w:p>
    <w:p>
      <w:r>
        <w:t xml:space="preserve">(b) Iodine deficiency disorder in school-age children only</w:t>
      </w:r>
    </w:p>
    <w:p>
      <w:r>
        <w:t xml:space="preserve">(c) Vitamin A deficiency in pregnant women only</w:t>
      </w:r>
    </w:p>
    <w:p>
      <w:r>
        <w:t xml:space="preserve">(d) Iron deficiency anemia in adolescent girls only</w:t>
      </w:r>
    </w:p>
    <w:p>
      <w:r>
        <w:t xml:space="preserve">Answer: a</w:t>
      </w:r>
    </w:p>
    <w:p>
      <w:r>
        <w:t xml:space="preserve">Solution: POSHAN Abhiyaan (Pradhan Mantri Overarching Scheme for Holistic Nutrition), launched in 2018, has a primary focus on reducing protein-energy malnutrition, stunting (height-for-age), and wasting (weight-for-height) among children below 6 years and pregnant/lactating women. While iodine, vitamin A, and iron deficiency anemia are addressed as secondary objectives through fortification and supplementation strategies, they are not the PRIMARY focus of the scheme. The programme's core indicators and targets specifically emphasize stunting and wasting reduction. Memory aid: POSHAN's PRIMARY triad = PEM (protein-energy malnutrition), Stunting, Wasting—targeting both chronic and acute malnutrition.</w:t>
      </w:r>
    </w:p>
    <w:p>
      <w:r>
        <w:t xml:space="preserve">Positive Marks: 1</w:t>
      </w:r>
    </w:p>
    <w:p>
      <w:r>
        <w:t xml:space="preserve">Negative Marks: 0.33</w:t>
      </w:r>
    </w:p>
    <w:sectPr>
      <w:pgSz w:w="11906" w:h="16838"/>
      <w:pgMar w:top="1134" w:right="1134" w:bottom="1134" w:left="1134"/>
    </w:sectPr>
  </w:body>
</w:document>
</file>