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chronological age group defined as 'elderly' according to WHO classification?</w:t>
      </w:r>
    </w:p>
    <w:p>
      <w:r>
        <w:t xml:space="preserve">(a) 60 years and above</w:t>
      </w:r>
    </w:p>
    <w:p>
      <w:r>
        <w:t xml:space="preserve">(b) 65 years and above</w:t>
      </w:r>
    </w:p>
    <w:p>
      <w:r>
        <w:t xml:space="preserve">(c) 55 years and above</w:t>
      </w:r>
    </w:p>
    <w:p>
      <w:r>
        <w:t xml:space="preserve">(d) 70 years and above</w:t>
      </w:r>
    </w:p>
    <w:p>
      <w:r>
        <w:t xml:space="preserve">Answer: a</w:t>
      </w:r>
    </w:p>
    <w:p>
      <w:r>
        <w:t xml:space="preserve">Solution: WHO defines elderly as 60 years and above for developing countries and 65 years and above for developed countries. For Indian context (developing country), 60+ is the standard definition used in NORCET and INC guidelines. Options b, c, d are incorrect as they represent alternative classifications that are either regionally specific or outdated.</w:t>
      </w:r>
    </w:p>
    <w:p>
      <w:r>
        <w:t xml:space="preserve">Positive Marks: 1</w:t>
      </w:r>
    </w:p>
    <w:p>
      <w:r>
        <w:t xml:space="preserve">Negative Marks: 0.33</w:t>
      </w:r>
    </w:p>
    <w:p/>
    <w:p>
      <w:r>
        <w:rPr>
          <w:b/>
        </w:rPr>
        <w:t xml:space="preserve">Question: Which of the following is a normal physiological change in the elderly population?</w:t>
      </w:r>
    </w:p>
    <w:p>
      <w:r>
        <w:t xml:space="preserve">(a) Increased vital capacity</w:t>
      </w:r>
    </w:p>
    <w:p>
      <w:r>
        <w:t xml:space="preserve">(b) Increased muscle mass</w:t>
      </w:r>
    </w:p>
    <w:p>
      <w:r>
        <w:t xml:space="preserve">(c) Decreased skin elasticity</w:t>
      </w:r>
    </w:p>
    <w:p>
      <w:r>
        <w:t xml:space="preserve">(d) Increased bone density</w:t>
      </w:r>
    </w:p>
    <w:p>
      <w:r>
        <w:t xml:space="preserve">Answer: c</w:t>
      </w:r>
    </w:p>
    <w:p>
      <w:r>
        <w:t xml:space="preserve">Solution: Decreased skin elasticity is a normal age-related physiological change due to loss of collagen and elastin. Vital capacity decreases (not increases) due to reduced lung elasticity. Muscle mass decreases (sarcopenia). Bone density decreases leading to osteoporosis. Option c is the only correct physiological change among the options.</w:t>
      </w:r>
    </w:p>
    <w:p>
      <w:r>
        <w:t xml:space="preserve">Positive Marks: 1</w:t>
      </w:r>
    </w:p>
    <w:p>
      <w:r>
        <w:t xml:space="preserve">Negative Marks: 0.33</w:t>
      </w:r>
    </w:p>
    <w:p/>
    <w:p>
      <w:r>
        <w:rPr>
          <w:b/>
        </w:rPr>
        <w:t xml:space="preserve">Question: The most common cause of mortality in elderly population in India is:</w:t>
      </w:r>
    </w:p>
    <w:p>
      <w:r>
        <w:t xml:space="preserve">(a) Malnutrition</w:t>
      </w:r>
    </w:p>
    <w:p>
      <w:r>
        <w:t xml:space="preserve">(b) Communicable diseases</w:t>
      </w:r>
    </w:p>
    <w:p>
      <w:r>
        <w:t xml:space="preserve">(c) Non-communicable diseases</w:t>
      </w:r>
    </w:p>
    <w:p>
      <w:r>
        <w:t xml:space="preserve">(d) Accidents and injuries</w:t>
      </w:r>
    </w:p>
    <w:p>
      <w:r>
        <w:t xml:space="preserve">Answer: c</w:t>
      </w:r>
    </w:p>
    <w:p>
      <w:r>
        <w:t xml:space="preserve">Solution: Non-communicable diseases (NCDs) including cardiovascular disease, cancer, COPD, and diabetes are the leading cause of mortality in elderly population globally and in India. While communicable diseases remain significant, NCDs account for &gt;70% deaths in elderly. Malnutrition and accidents contribute but are not the primary causes.</w:t>
      </w:r>
    </w:p>
    <w:p>
      <w:r>
        <w:t xml:space="preserve">Positive Marks: 1</w:t>
      </w:r>
    </w:p>
    <w:p>
      <w:r>
        <w:t xml:space="preserve">Negative Marks: 0.33</w:t>
      </w:r>
    </w:p>
    <w:p/>
    <w:p>
      <w:r>
        <w:rPr>
          <w:b/>
        </w:rPr>
        <w:t xml:space="preserve">Question: At what age does cognitive decline become noticeable in community-dwelling elderly without dementia?</w:t>
      </w:r>
    </w:p>
    <w:p>
      <w:r>
        <w:t xml:space="preserve">(a) 50-55 years</w:t>
      </w:r>
    </w:p>
    <w:p>
      <w:r>
        <w:t xml:space="preserve">(b) 60-65 years</w:t>
      </w:r>
    </w:p>
    <w:p>
      <w:r>
        <w:t xml:space="preserve">(c) 75 years and above</w:t>
      </w:r>
    </w:p>
    <w:p>
      <w:r>
        <w:t xml:space="preserve">(d) 80 years and above</w:t>
      </w:r>
    </w:p>
    <w:p>
      <w:r>
        <w:t xml:space="preserve">Answer: c</w:t>
      </w:r>
    </w:p>
    <w:p>
      <w:r>
        <w:t xml:space="preserve">Solution: Mild cognitive decline becomes noticeable around 75 years of age in normal aging without pathology. Before this age, cognitive function remains relatively stable in healthy elderly. Options a, b represent younger age groups where significant decline is unusual. Option d is too late. The 75-year threshold is well-established in geriatric literature.</w:t>
      </w:r>
    </w:p>
    <w:p>
      <w:r>
        <w:t xml:space="preserve">Positive Marks: 1</w:t>
      </w:r>
    </w:p>
    <w:p>
      <w:r>
        <w:t xml:space="preserve">Negative Marks: 0.33</w:t>
      </w:r>
    </w:p>
    <w:p/>
    <w:p>
      <w:r>
        <w:rPr>
          <w:b/>
        </w:rPr>
        <w:t xml:space="preserve">Question: Which vitamin deficiency is most commonly observed in community-dwelling elderly population?</w:t>
      </w:r>
    </w:p>
    <w:p>
      <w:r>
        <w:t xml:space="preserve">(a) Vitamin A deficiency</w:t>
      </w:r>
    </w:p>
    <w:p>
      <w:r>
        <w:t xml:space="preserve">(b) Vitamin B12 deficiency</w:t>
      </w:r>
    </w:p>
    <w:p>
      <w:r>
        <w:t xml:space="preserve">(c) Vitamin C deficiency</w:t>
      </w:r>
    </w:p>
    <w:p>
      <w:r>
        <w:t xml:space="preserve">(d) Vitamin D deficiency</w:t>
      </w:r>
    </w:p>
    <w:p>
      <w:r>
        <w:t xml:space="preserve">Answer: d</w:t>
      </w:r>
    </w:p>
    <w:p>
      <w:r>
        <w:t xml:space="preserve">Solution: Vitamin D deficiency is highly prevalent in elderly due to reduced sun exposure, decreased skin synthesis, and poor dietary intake. This contributes to osteoporosis and increased fracture risk. B12 deficiency also occurs but less commonly than Vitamin D. Vitamins A and C deficiencies are less prevalent in community settings with adequate nutrition.</w:t>
      </w:r>
    </w:p>
    <w:p>
      <w:r>
        <w:t xml:space="preserve">Positive Marks: 1</w:t>
      </w:r>
    </w:p>
    <w:p>
      <w:r>
        <w:t xml:space="preserve">Negative Marks: 0.33</w:t>
      </w:r>
    </w:p>
    <w:p/>
    <w:p>
      <w:r>
        <w:rPr>
          <w:b/>
        </w:rPr>
        <w:t xml:space="preserve">Question: Which assessment tool is most appropriate for screening functional status in elderly during community health visits?</w:t>
      </w:r>
    </w:p>
    <w:p>
      <w:r>
        <w:t xml:space="preserve">(a) Mini Mental State Examination</w:t>
      </w:r>
    </w:p>
    <w:p>
      <w:r>
        <w:t xml:space="preserve">(b) Activities of Daily Living (ADL) scale</w:t>
      </w:r>
    </w:p>
    <w:p>
      <w:r>
        <w:t xml:space="preserve">(c) Confusion Assessment Method</w:t>
      </w:r>
    </w:p>
    <w:p>
      <w:r>
        <w:t xml:space="preserve">(d) CAGE questionnaire</w:t>
      </w:r>
    </w:p>
    <w:p>
      <w:r>
        <w:t xml:space="preserve">Answer: b</w:t>
      </w:r>
    </w:p>
    <w:p>
      <w:r>
        <w:t xml:space="preserve">Solution: ADL scale (Katz ADL or Barthel Index) is the gold standard for assessing functional status in elderly. MMSE screens cognitive status, CAM for delirium, and CAGE for alcohol use. Functional assessment is crucial in community geriatric care to identify dependence level and care needs. ADL directly measures ability to perform self-care activities.</w:t>
      </w:r>
    </w:p>
    <w:p>
      <w:r>
        <w:t xml:space="preserve">Positive Marks: 1</w:t>
      </w:r>
    </w:p>
    <w:p>
      <w:r>
        <w:t xml:space="preserve">Negative Marks: 0.33</w:t>
      </w:r>
    </w:p>
    <w:p/>
    <w:p>
      <w:r>
        <w:rPr>
          <w:b/>
        </w:rPr>
        <w:t xml:space="preserve">Question: What is the primary nutritional goal in community-based geriatric care?</w:t>
      </w:r>
    </w:p>
    <w:p>
      <w:r>
        <w:t xml:space="preserve">(a) Maximum caloric intake</w:t>
      </w:r>
    </w:p>
    <w:p>
      <w:r>
        <w:t xml:space="preserve">(b) Adequate protein intake and prevention of malnutrition</w:t>
      </w:r>
    </w:p>
    <w:p>
      <w:r>
        <w:t xml:space="preserve">(c) High carbohydrate diet</w:t>
      </w:r>
    </w:p>
    <w:p>
      <w:r>
        <w:t xml:space="preserve">(d) Restriction of all dietary fat</w:t>
      </w:r>
    </w:p>
    <w:p>
      <w:r>
        <w:t xml:space="preserve">Answer: b</w:t>
      </w:r>
    </w:p>
    <w:p>
      <w:r>
        <w:t xml:space="preserve">Solution: Adequate protein intake and prevention of malnutrition are primary nutritional goals as elderly face risks of sarcopenia, weight loss, and protein deficiency. Maximum calories may lead to obesity-related complications. High carbohydrate and fat restriction are not universally recommended. Protein becomes increasingly important to maintain muscle mass in aging.</w:t>
      </w:r>
    </w:p>
    <w:p>
      <w:r>
        <w:t xml:space="preserve">Positive Marks: 1</w:t>
      </w:r>
    </w:p>
    <w:p>
      <w:r>
        <w:t xml:space="preserve">Negative Marks: 0.33</w:t>
      </w:r>
    </w:p>
    <w:p/>
    <w:p>
      <w:r>
        <w:rPr>
          <w:b/>
        </w:rPr>
        <w:t xml:space="preserve">Question: Which of the following is the most important risk factor for falls in community-dwelling elderly?</w:t>
      </w:r>
    </w:p>
    <w:p>
      <w:r>
        <w:t xml:space="preserve">(a) High blood pressure</w:t>
      </w:r>
    </w:p>
    <w:p>
      <w:r>
        <w:t xml:space="preserve">(b) Polypharmacy and use of sedatives</w:t>
      </w:r>
    </w:p>
    <w:p>
      <w:r>
        <w:t xml:space="preserve">(c) Elevated cholesterol</w:t>
      </w:r>
    </w:p>
    <w:p>
      <w:r>
        <w:t xml:space="preserve">(d) Recent weight gain</w:t>
      </w:r>
    </w:p>
    <w:p>
      <w:r>
        <w:t xml:space="preserve">Answer: b</w:t>
      </w:r>
    </w:p>
    <w:p>
      <w:r>
        <w:t xml:space="preserve">Solution: Polypharmacy (use of multiple medications) and sedatives increase fall risk through orthostatic hypotension, dizziness, and impaired balance. Elderly on psychotropic drugs, antihypertensives, and sedatives have significantly higher fall rates. While hypertension exists, it's not the primary fall risk. Cholesterol and weight gain are minimal fall risk factors compared to medication effects.</w:t>
      </w:r>
    </w:p>
    <w:p>
      <w:r>
        <w:t xml:space="preserve">Positive Marks: 1</w:t>
      </w:r>
    </w:p>
    <w:p>
      <w:r>
        <w:t xml:space="preserve">Negative Marks: 0.33</w:t>
      </w:r>
    </w:p>
    <w:p/>
    <w:p>
      <w:r>
        <w:rPr>
          <w:b/>
        </w:rPr>
        <w:t xml:space="preserve">Question: Elder abuse in community settings most commonly manifests as:</w:t>
      </w:r>
    </w:p>
    <w:p>
      <w:r>
        <w:t xml:space="preserve">(a) Verbal and emotional abuse</w:t>
      </w:r>
    </w:p>
    <w:p>
      <w:r>
        <w:t xml:space="preserve">(b) Physical abuse only</w:t>
      </w:r>
    </w:p>
    <w:p>
      <w:r>
        <w:t xml:space="preserve">(c) Sexual abuse</w:t>
      </w:r>
    </w:p>
    <w:p>
      <w:r>
        <w:t xml:space="preserve">(d) Financial exploitation only</w:t>
      </w:r>
    </w:p>
    <w:p>
      <w:r>
        <w:t xml:space="preserve">Answer: a</w:t>
      </w:r>
    </w:p>
    <w:p>
      <w:r>
        <w:t xml:space="preserve">Solution: Verbal and emotional abuse is the most common form of elder abuse in community and institutional settings. While physical, financial, and sexual abuse occur, emotional/psychological abuse is most frequent and often goes unreported. Recognition of abusive language, social isolation, and psychological control is important during community visits.</w:t>
      </w:r>
    </w:p>
    <w:p>
      <w:r>
        <w:t xml:space="preserve">Positive Marks: 1</w:t>
      </w:r>
    </w:p>
    <w:p>
      <w:r>
        <w:t xml:space="preserve">Negative Marks: 0.33</w:t>
      </w:r>
    </w:p>
    <w:p/>
    <w:p>
      <w:r>
        <w:rPr>
          <w:b/>
        </w:rPr>
        <w:t xml:space="preserve">Question: The most appropriate housing modification for preventing falls in elderly is:</w:t>
      </w:r>
    </w:p>
    <w:p>
      <w:r>
        <w:t xml:space="preserve">(a) Installation of handrails and grab bars</w:t>
      </w:r>
    </w:p>
    <w:p>
      <w:r>
        <w:t xml:space="preserve">(b) Painting walls in bright colors</w:t>
      </w:r>
    </w:p>
    <w:p>
      <w:r>
        <w:t xml:space="preserve">(c) Using thick carpets</w:t>
      </w:r>
    </w:p>
    <w:p>
      <w:r>
        <w:t xml:space="preserve">(d) Installing ceiling fans in all rooms</w:t>
      </w:r>
    </w:p>
    <w:p>
      <w:r>
        <w:t xml:space="preserve">Answer: a</w:t>
      </w:r>
    </w:p>
    <w:p>
      <w:r>
        <w:t xml:space="preserve">Solution: Handrails and grab bars are essential evidence-based modifications for fall prevention in bathrooms, staircases, and corridors. They provide support and balance assistance. Thick carpets actually increase fall risk by catching feet. Bright colors and ceiling fans are not directly related to fall prevention. Proper lighting is more important than colors.</w:t>
      </w:r>
    </w:p>
    <w:p>
      <w:r>
        <w:t xml:space="preserve">Positive Marks: 1</w:t>
      </w:r>
    </w:p>
    <w:p>
      <w:r>
        <w:t xml:space="preserve">Negative Marks: 0.33</w:t>
      </w:r>
    </w:p>
    <w:p/>
    <w:p>
      <w:r>
        <w:rPr>
          <w:b/>
        </w:rPr>
        <w:t xml:space="preserve">Question: Which mental health condition is most frequently misdiagnosed as dementia in elderly during community screening?</w:t>
      </w:r>
    </w:p>
    <w:p>
      <w:r>
        <w:t xml:space="preserve">(a) Schizophrenia</w:t>
      </w:r>
    </w:p>
    <w:p>
      <w:r>
        <w:t xml:space="preserve">(b) Depression</w:t>
      </w:r>
    </w:p>
    <w:p>
      <w:r>
        <w:t xml:space="preserve">(c) Anxiety disorder</w:t>
      </w:r>
    </w:p>
    <w:p>
      <w:r>
        <w:t xml:space="preserve">(d) Bipolar disorder</w:t>
      </w:r>
    </w:p>
    <w:p>
      <w:r>
        <w:t xml:space="preserve">Answer: b</w:t>
      </w:r>
    </w:p>
    <w:p>
      <w:r>
        <w:t xml:space="preserve">Solution: Depression in elderly commonly presents with cognitive complaints, poor concentration, and forgetfulness that can be mistaken for dementia (pseudodementia). Depressed elderly may score poorly on cognitive tests but improve with antidepressant treatment. This reversible condition is frequently missed. Other options are less commonly confused with dementia in community settings.</w:t>
      </w:r>
    </w:p>
    <w:p>
      <w:r>
        <w:t xml:space="preserve">Positive Marks: 1</w:t>
      </w:r>
    </w:p>
    <w:p>
      <w:r>
        <w:t xml:space="preserve">Negative Marks: 0.33</w:t>
      </w:r>
    </w:p>
    <w:p/>
    <w:p>
      <w:r>
        <w:rPr>
          <w:b/>
        </w:rPr>
        <w:t xml:space="preserve">Question: According to INC guidelines, the recommended frequency of community health nursing assessment visits for independent elderly is:</w:t>
      </w:r>
    </w:p>
    <w:p>
      <w:r>
        <w:t xml:space="preserve">(a) Weekly</w:t>
      </w:r>
    </w:p>
    <w:p>
      <w:r>
        <w:t xml:space="preserve">(b) Bi-weekly</w:t>
      </w:r>
    </w:p>
    <w:p>
      <w:r>
        <w:t xml:space="preserve">(c) Monthly</w:t>
      </w:r>
    </w:p>
    <w:p>
      <w:r>
        <w:t xml:space="preserve">(d) Quarterly</w:t>
      </w:r>
    </w:p>
    <w:p>
      <w:r>
        <w:t xml:space="preserve">Answer: d</w:t>
      </w:r>
    </w:p>
    <w:p>
      <w:r>
        <w:t xml:space="preserve">Solution: Community health nurses typically conduct quarterly visits for independent, healthy elderly for health screening and health education purposes. Weekly and bi-weekly visits are reserved for dependent or chronically ill elderly. Monthly visits are for moderately dependent elderly. Quarterly schedule allows efficient use of resources while maintaining preventive care contact.</w:t>
      </w:r>
    </w:p>
    <w:p>
      <w:r>
        <w:t xml:space="preserve">Positive Marks: 1</w:t>
      </w:r>
    </w:p>
    <w:p>
      <w:r>
        <w:t xml:space="preserve">Negative Marks: 0.33</w:t>
      </w:r>
    </w:p>
    <w:p/>
    <w:p>
      <w:r>
        <w:rPr>
          <w:b/>
        </w:rPr>
        <w:t xml:space="preserve">Question: Which of the following is characteristic of Mild Cognitive Impairment (MCI) in elderly?</w:t>
      </w:r>
    </w:p>
    <w:p>
      <w:r>
        <w:t xml:space="preserve">(a) Complete loss of ability to recognize family</w:t>
      </w:r>
    </w:p>
    <w:p>
      <w:r>
        <w:t xml:space="preserve">(b) Cognitive decline without significant functional impairment</w:t>
      </w:r>
    </w:p>
    <w:p>
      <w:r>
        <w:t xml:space="preserve">(c) Acute onset of confusion</w:t>
      </w:r>
    </w:p>
    <w:p>
      <w:r>
        <w:t xml:space="preserve">(d) Requires 24-hour supervision</w:t>
      </w:r>
    </w:p>
    <w:p>
      <w:r>
        <w:t xml:space="preserve">Answer: b</w:t>
      </w:r>
    </w:p>
    <w:p>
      <w:r>
        <w:t xml:space="preserve">Solution: MCI is defined by cognitive decline (especially memory) that does not significantly interfere with functional abilities and daily living. It's intermediate between normal aging and dementia. Option a describes advanced dementia. Option c suggests delirium. Option d indicates dependence. MCI requires monitoring as it may progress to dementia but many remain stable.</w:t>
      </w:r>
    </w:p>
    <w:p>
      <w:r>
        <w:t xml:space="preserve">Positive Marks: 1</w:t>
      </w:r>
    </w:p>
    <w:p>
      <w:r>
        <w:t xml:space="preserve">Negative Marks: 0.33</w:t>
      </w:r>
    </w:p>
    <w:p/>
    <w:p>
      <w:r>
        <w:rPr>
          <w:b/>
        </w:rPr>
        <w:t xml:space="preserve">Question: In community-based management of hypertension in elderly, what is the target systolic BP?</w:t>
      </w:r>
    </w:p>
    <w:p>
      <w:r>
        <w:t xml:space="preserve">(a) &lt;140 mmHg</w:t>
      </w:r>
    </w:p>
    <w:p>
      <w:r>
        <w:t xml:space="preserve">(b) &lt;130 mmHg</w:t>
      </w:r>
    </w:p>
    <w:p>
      <w:r>
        <w:t xml:space="preserve">(c) &lt;150 mmHg</w:t>
      </w:r>
    </w:p>
    <w:p>
      <w:r>
        <w:t xml:space="preserve">(d) &lt;120 mmHg</w:t>
      </w:r>
    </w:p>
    <w:p>
      <w:r>
        <w:t xml:space="preserve">Answer: a</w:t>
      </w:r>
    </w:p>
    <w:p>
      <w:r>
        <w:t xml:space="preserve">Solution: Current guidelines (INC, WHO) recommend target systolic BP of &lt;140 mmHg in elderly (non-diabetic, without cardiovascular disease history). For frail elderly, slightly higher targets (150 mmHg) may be acceptable. Option b (&lt;130) is aggressive and increases hypotensive complications in elderly. Options c and d are too high and too low respectively. The 140 target balances cardiovascular protection with fall prevention.</w:t>
      </w:r>
    </w:p>
    <w:p>
      <w:r>
        <w:t xml:space="preserve">Positive Marks: 1</w:t>
      </w:r>
    </w:p>
    <w:p>
      <w:r>
        <w:t xml:space="preserve">Negative Marks: 0.33</w:t>
      </w:r>
    </w:p>
    <w:p/>
    <w:p>
      <w:r>
        <w:rPr>
          <w:b/>
        </w:rPr>
        <w:t xml:space="preserve">Question: Which infection is most commonly preventable through vaccination in community-dwelling elderly?</w:t>
      </w:r>
    </w:p>
    <w:p>
      <w:r>
        <w:t xml:space="preserve">(a) Urinary tract infection</w:t>
      </w:r>
    </w:p>
    <w:p>
      <w:r>
        <w:t xml:space="preserve">(b) Influenza and Pneumococcal infection</w:t>
      </w:r>
    </w:p>
    <w:p>
      <w:r>
        <w:t xml:space="preserve">(c) Skin infections</w:t>
      </w:r>
    </w:p>
    <w:p>
      <w:r>
        <w:t xml:space="preserve">(d) Gastroenteritis</w:t>
      </w:r>
    </w:p>
    <w:p>
      <w:r>
        <w:t xml:space="preserve">Answer: b</w:t>
      </w:r>
    </w:p>
    <w:p>
      <w:r>
        <w:t xml:space="preserve">Solution: Influenza and Pneumococcal vaccines are the cornerstones of immunization in elderly in community settings as these are serious, potentially fatal, but preventable infections. UTIs are not vaccine-preventable. Skin infections and gastroenteritis have limited vaccine options. Annual flu vaccine and pneumococcal vaccination (with revaccination every 5 years) are standard recommendations in geriatric community care.</w:t>
      </w:r>
    </w:p>
    <w:p>
      <w:r>
        <w:t xml:space="preserve">Positive Marks: 1</w:t>
      </w:r>
    </w:p>
    <w:p>
      <w:r>
        <w:t xml:space="preserve">Negative Marks: 0.33</w:t>
      </w:r>
    </w:p>
    <w:p/>
    <w:p>
      <w:r>
        <w:rPr>
          <w:b/>
        </w:rPr>
        <w:t xml:space="preserve">Question: The concept of 'active aging' in community health nursing emphasizes:</w:t>
      </w:r>
    </w:p>
    <w:p>
      <w:r>
        <w:t xml:space="preserve">(a) Enforced bed rest to prevent injury</w:t>
      </w:r>
    </w:p>
    <w:p>
      <w:r>
        <w:t xml:space="preserve">(b) Continued participation in social, economic, and cultural activities</w:t>
      </w:r>
    </w:p>
    <w:p>
      <w:r>
        <w:t xml:space="preserve">(c) Isolation to reduce infection risk</w:t>
      </w:r>
    </w:p>
    <w:p>
      <w:r>
        <w:t xml:space="preserve">(d) Medication without rehabilitation</w:t>
      </w:r>
    </w:p>
    <w:p>
      <w:r>
        <w:t xml:space="preserve">Answer: b</w:t>
      </w:r>
    </w:p>
    <w:p>
      <w:r>
        <w:t xml:space="preserve">Solution: Active aging (WHO definition) means enabling older people to continue participation in family, social, and economic life according to their needs and preferences. It promotes independence and quality of life. Bed rest is harmful causing deconditioning. Isolation worsens mental health. Combined medication and rehabilitation (option d) is incomplete without social participation.</w:t>
      </w:r>
    </w:p>
    <w:p>
      <w:r>
        <w:t xml:space="preserve">Positive Marks: 1</w:t>
      </w:r>
    </w:p>
    <w:p>
      <w:r>
        <w:t xml:space="preserve">Negative Marks: 0.33</w:t>
      </w:r>
    </w:p>
    <w:p/>
    <w:p>
      <w:r>
        <w:rPr>
          <w:b/>
        </w:rPr>
        <w:t xml:space="preserve">Question: Which family structure in Indian community is most protective against social isolation of elderly?</w:t>
      </w:r>
    </w:p>
    <w:p>
      <w:r>
        <w:t xml:space="preserve">(a) Single child family</w:t>
      </w:r>
    </w:p>
    <w:p>
      <w:r>
        <w:t xml:space="preserve">(b) Nuclear family</w:t>
      </w:r>
    </w:p>
    <w:p>
      <w:r>
        <w:t xml:space="preserve">(c) Joint/extended family</w:t>
      </w:r>
    </w:p>
    <w:p>
      <w:r>
        <w:t xml:space="preserve">(d) Single parent family</w:t>
      </w:r>
    </w:p>
    <w:p>
      <w:r>
        <w:t xml:space="preserve">Answer: c</w:t>
      </w:r>
    </w:p>
    <w:p>
      <w:r>
        <w:t xml:space="preserve">Solution: Joint/extended family systems provide more social support, co-residence, regular interaction, and economic security reducing isolation in elderly. Single child families and nuclear families are associated with increased isolation risk in Indian context. Single parent families typically have fewer resources. The presence of multiple family members is protective factor against psychological and social neglect.</w:t>
      </w:r>
    </w:p>
    <w:p>
      <w:r>
        <w:t xml:space="preserve">Positive Marks: 1</w:t>
      </w:r>
    </w:p>
    <w:p>
      <w:r>
        <w:t xml:space="preserve">Negative Marks: 0.33</w:t>
      </w:r>
    </w:p>
    <w:p/>
    <w:p>
      <w:r>
        <w:rPr>
          <w:b/>
        </w:rPr>
        <w:t xml:space="preserve">Question: In community geriatric care, delirium is best distinguished from dementia by which feature?</w:t>
      </w:r>
    </w:p>
    <w:p>
      <w:r>
        <w:t xml:space="preserve">(a) Presence of memory loss</w:t>
      </w:r>
    </w:p>
    <w:p>
      <w:r>
        <w:t xml:space="preserve">(b) Acute onset and fluctuating course</w:t>
      </w:r>
    </w:p>
    <w:p>
      <w:r>
        <w:t xml:space="preserve">(c) Disorientation to person, place, time</w:t>
      </w:r>
    </w:p>
    <w:p>
      <w:r>
        <w:t xml:space="preserve">(d) Behavioral changes</w:t>
      </w:r>
    </w:p>
    <w:p>
      <w:r>
        <w:t xml:space="preserve">Answer: b</w:t>
      </w:r>
    </w:p>
    <w:p>
      <w:r>
        <w:t xml:space="preserve">Solution: Delirium has acute onset (hours to days) with fluctuating symptoms throughout the day, often reversible, caused by acute illness/medication. Dementia is insidious onset (months to years), progressive, relatively stable, irreversible. Both may show memory loss, disorientation, and behavioral changes. The key distinguishing feature is the acute, fluctuating nature of delirium versus the chronic, progressive nature of dementia.</w:t>
      </w:r>
    </w:p>
    <w:p>
      <w:r>
        <w:t xml:space="preserve">Positive Marks: 1</w:t>
      </w:r>
    </w:p>
    <w:p>
      <w:r>
        <w:t xml:space="preserve">Negative Marks: 0.33</w:t>
      </w:r>
    </w:p>
    <w:p/>
    <w:p>
      <w:r>
        <w:rPr>
          <w:b/>
        </w:rPr>
        <w:t xml:space="preserve">Question: According to Rowe and Kahn's model of successful aging, which of the following is NOT a component?</w:t>
      </w:r>
    </w:p>
    <w:p>
      <w:r>
        <w:t xml:space="preserve">(a) Low disease and disability</w:t>
      </w:r>
    </w:p>
    <w:p>
      <w:r>
        <w:t xml:space="preserve">(b) High cognitive and physical functioning</w:t>
      </w:r>
    </w:p>
    <w:p>
      <w:r>
        <w:t xml:space="preserve">(c) Active engagement with life</w:t>
      </w:r>
    </w:p>
    <w:p>
      <w:r>
        <w:t xml:space="preserve">(d) Financial independence only</w:t>
      </w:r>
    </w:p>
    <w:p>
      <w:r>
        <w:t xml:space="preserve">Answer: d</w:t>
      </w:r>
    </w:p>
    <w:p>
      <w:r>
        <w:t xml:space="preserve">Solution: Rowe and Kahn's successful aging model includes three components: (1) low disease/disability burden, (2) high physical and cognitive function, and (3) active engagement with life (relationships and productive activities). Financial independence alone is not a primary component though economic security supports other aspects. The model emphasizes holistic health, not just absence of disease or money.</w:t>
      </w:r>
    </w:p>
    <w:p>
      <w:r>
        <w:t xml:space="preserve">Positive Marks: 1</w:t>
      </w:r>
    </w:p>
    <w:p>
      <w:r>
        <w:t xml:space="preserve">Negative Marks: 0.33</w:t>
      </w:r>
    </w:p>
    <w:p/>
    <w:p>
      <w:r>
        <w:rPr>
          <w:b/>
        </w:rPr>
        <w:t xml:space="preserve">Question: A 74-year-old community-dwelling man on treatment for hypertension and Type 2 diabetes presents to a community health clinic with dizziness, fatigue, and two documented episodes of hypoglycemia within the past week. His medication regimen includes three antihypertensive agents and two oral hypoglycemic drugs. Based on contemporary geriatric community nursing principles, what should be the nurse's priority intervention?</w:t>
      </w:r>
    </w:p>
    <w:p>
      <w:r>
        <w:t xml:space="preserve">(a) Immediately refer for hospital-based medication intensification after investigation</w:t>
      </w:r>
    </w:p>
    <w:p>
      <w:r>
        <w:t xml:space="preserve">(b) Conduct medication review to identify deprescribing candidates and establish regular monitoring</w:t>
      </w:r>
    </w:p>
    <w:p>
      <w:r>
        <w:t xml:space="preserve">(c) Prescribe antidizziness medication and increase blood glucose monitoring frequency</w:t>
      </w:r>
    </w:p>
    <w:p>
      <w:r>
        <w:t xml:space="preserve">(d) Discontinue all medications immediately and reschedule after hospital evaluation</w:t>
      </w:r>
    </w:p>
    <w:p>
      <w:r>
        <w:t xml:space="preserve">Answer: b</w:t>
      </w:r>
    </w:p>
    <w:p>
      <w:r>
        <w:t xml:space="preserve">Solution: Deprescribing (rational reduction of medications with limited therapeutic benefit) is an evidence-based strategy in geriatric community care to minimize polypharmacy-related adverse events. The patient's acute symptoms—dizziness, fatigue, and hypoglycemic episodes—suggest medication-induced toxicity rather than inadequate disease control. Comprehensive medication review should evaluate the necessity and appropriateness of each agent and identify candidates for dose reduction or discontinuation, conducted collaboratively between nurse and physician. Close monitoring of vital signs and blood glucose must accompany adjustments. Option A represents inappropriate escalation when de-escalation is indicated; option C adds medication burden; option D is abrupt and dangerous. The geriatric principle of "start low, go slow" extends to systematic deprescribing. Memory aid: REVIEW before escalating in geriatric presentations with acute symptoms—medication harm (iatrogenesis) is common and preventable through community-based medication management per INC guidelines.</w:t>
      </w:r>
    </w:p>
    <w:p>
      <w:r>
        <w:t xml:space="preserve">Positive Marks: 1</w:t>
      </w:r>
    </w:p>
    <w:p>
      <w:r>
        <w:t xml:space="preserve">Negative Marks: 0.33</w:t>
      </w:r>
    </w:p>
    <w:sectPr>
      <w:pgSz w:w="11906" w:h="16838"/>
      <w:pgMar w:top="1134" w:right="1134" w:bottom="1134" w:left="1134"/>
    </w:sectPr>
  </w:body>
</w:document>
</file>